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F8102BE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56465341" w:rsidR="00A60089" w:rsidRDefault="00474F67" w:rsidP="00A60089">
      <w:pPr>
        <w:pStyle w:val="Heading1"/>
      </w:pPr>
      <w:r>
        <w:t>Taflen waith 8: Terminoleg busnes (tiwtor)</w:t>
      </w:r>
    </w:p>
    <w:p w14:paraId="4A80A18E" w14:textId="77777777" w:rsidR="001F0F68" w:rsidRDefault="001F0F68" w:rsidP="009C6648">
      <w:pPr>
        <w:pStyle w:val="Normalnumberedlist"/>
      </w:pPr>
      <w:r>
        <w:t xml:space="preserve">Llenwch y diffiniadau o’r derminoleg busnes sydd yn y tabl isod.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96"/>
        <w:gridCol w:w="7938"/>
      </w:tblGrid>
      <w:tr w:rsidR="007250F5" w14:paraId="29F96F39" w14:textId="77777777" w:rsidTr="001F0F68">
        <w:trPr>
          <w:tblHeader/>
        </w:trPr>
        <w:tc>
          <w:tcPr>
            <w:tcW w:w="1696" w:type="dxa"/>
          </w:tcPr>
          <w:p w14:paraId="22BF884B" w14:textId="0392C71E" w:rsidR="007250F5" w:rsidRPr="007250F5" w:rsidRDefault="007250F5" w:rsidP="00021752">
            <w:pPr>
              <w:spacing w:line="240" w:lineRule="auto"/>
              <w:rPr>
                <w:rFonts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Terminoleg busnes</w:t>
            </w:r>
          </w:p>
        </w:tc>
        <w:tc>
          <w:tcPr>
            <w:tcW w:w="7938" w:type="dxa"/>
          </w:tcPr>
          <w:p w14:paraId="28DC641D" w14:textId="2A8D8A0F" w:rsidR="007250F5" w:rsidRPr="00B5017F" w:rsidRDefault="007250F5" w:rsidP="00021752">
            <w:pPr>
              <w:spacing w:line="240" w:lineRule="auto"/>
              <w:rPr>
                <w:rFonts w:cs="Arial"/>
                <w:b/>
                <w:bCs/>
                <w:color w:val="FF0000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Diffiniad</w:t>
            </w:r>
          </w:p>
        </w:tc>
      </w:tr>
      <w:tr w:rsidR="007250F5" w14:paraId="5F0B0CD2" w14:textId="77777777" w:rsidTr="001F0F68">
        <w:tc>
          <w:tcPr>
            <w:tcW w:w="1696" w:type="dxa"/>
          </w:tcPr>
          <w:p w14:paraId="612CAA82" w14:textId="41CE7A00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>
              <w:t>Colled</w:t>
            </w:r>
          </w:p>
        </w:tc>
        <w:tc>
          <w:tcPr>
            <w:tcW w:w="7938" w:type="dxa"/>
          </w:tcPr>
          <w:p w14:paraId="09961E0A" w14:textId="7240FF98" w:rsidR="007250F5" w:rsidRPr="001F0F68" w:rsidRDefault="002B1EA4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  <w:shd w:val="clear" w:color="auto" w:fill="FFFFFF"/>
              </w:rPr>
            </w:pPr>
            <w:r>
              <w:rPr>
                <w:color w:val="FF0000"/>
                <w:shd w:val="clear" w:color="auto" w:fill="FFFFFF"/>
              </w:rPr>
              <w:t>Mae colled yn y diwydiant adeiladu yn gallu bod yn ariannol neu o ganlyniad i golli bywyd oherwydd ystyriaethau diogelwch gwael. Mewn cyfrifon ariannol, mae colled yn ostyngiad yn yr incwm net sydd y tu allan i weithrediadau arferol y busnes. Gall colledion ddeillio o sawl peth.</w:t>
            </w:r>
          </w:p>
        </w:tc>
      </w:tr>
      <w:tr w:rsidR="007250F5" w14:paraId="423337E5" w14:textId="77777777" w:rsidTr="001F0F68">
        <w:tc>
          <w:tcPr>
            <w:tcW w:w="1696" w:type="dxa"/>
          </w:tcPr>
          <w:p w14:paraId="45F7AE0E" w14:textId="3681BE0C" w:rsidR="007250F5" w:rsidRPr="001F0F68" w:rsidRDefault="002B1EA4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>
              <w:t>Cadw Cyfrifon</w:t>
            </w:r>
          </w:p>
        </w:tc>
        <w:tc>
          <w:tcPr>
            <w:tcW w:w="7938" w:type="dxa"/>
          </w:tcPr>
          <w:p w14:paraId="49DD19CA" w14:textId="5FCF6FF6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hd w:val="clear" w:color="auto" w:fill="FFFFFF"/>
              </w:rPr>
              <w:t>Mae cadw cyfrifon yn golygu cofnodi trafodion ariannol ac mae’n rhan o’r broses o gyfrifyddu mewn busnes. Mae trafodion yn cynnwys prynu, gwerthu, derbynebau, a thaliadau gan unigolyn neu sefydliad/corfforaeth. Rhaid i gwmnïau adeiladu fonitro eu llyfrau i sicrhau eu bod yn talu trethi priodol ac yn gweithio o fewn y gyfraith.</w:t>
            </w:r>
          </w:p>
        </w:tc>
      </w:tr>
      <w:tr w:rsidR="007250F5" w14:paraId="7A9022A5" w14:textId="77777777" w:rsidTr="001F0F68">
        <w:tc>
          <w:tcPr>
            <w:tcW w:w="1696" w:type="dxa"/>
          </w:tcPr>
          <w:p w14:paraId="41F41A0B" w14:textId="77BFE71F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>
              <w:t>Archwilio</w:t>
            </w:r>
          </w:p>
        </w:tc>
        <w:tc>
          <w:tcPr>
            <w:tcW w:w="7938" w:type="dxa"/>
          </w:tcPr>
          <w:p w14:paraId="4C97E745" w14:textId="3CD49473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hd w:val="clear" w:color="auto" w:fill="FFFFFF"/>
              </w:rPr>
              <w:t>Mae archwiliad adeiladu yn edrych yn bennaf ar agweddau ariannol, gan ystyried elfennau adeiladu a diogelwch fel y mae’n berthnasol i elfennau ariannol prosiect. Gall hyn gynnwys archwilio deunyddiau a rhannau o adeilad sydd wedi’u cwblhau i sicrhau bod holl elfennau contract yn cael eu cynnal.</w:t>
            </w:r>
          </w:p>
        </w:tc>
      </w:tr>
      <w:tr w:rsidR="007250F5" w14:paraId="59D73961" w14:textId="77777777" w:rsidTr="001F0F68">
        <w:tc>
          <w:tcPr>
            <w:tcW w:w="1696" w:type="dxa"/>
          </w:tcPr>
          <w:p w14:paraId="068E1951" w14:textId="5A2E69AE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>
              <w:t>Gorbenion</w:t>
            </w:r>
          </w:p>
        </w:tc>
        <w:tc>
          <w:tcPr>
            <w:tcW w:w="7938" w:type="dxa"/>
          </w:tcPr>
          <w:p w14:paraId="146DF831" w14:textId="2958183E" w:rsidR="007250F5" w:rsidRPr="001F0F68" w:rsidRDefault="006341A0" w:rsidP="000217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 xml:space="preserve">Mae gorbenion yn cael eu prisio’n gymesur â phrosiect a dyma’r costau a gyfrifwyd ar gyfer rhedeg y cwmni a gafodd ei gontractio i gyflawni prosiect. </w:t>
            </w:r>
            <w:hyperlink r:id="rId10" w:tooltip="Cost" w:history="1">
              <w:r>
                <w:rPr>
                  <w:rStyle w:val="Hyperlink"/>
                  <w:rFonts w:ascii="Arial" w:hAnsi="Arial"/>
                  <w:color w:val="FF0000"/>
                  <w:sz w:val="22"/>
                  <w:szCs w:val="22"/>
                  <w:u w:val="none"/>
                </w:rPr>
                <w:t>Yn aml, disgrifir y costau hyn fel costau gweinyddol prif swyddfa (mewn rhai achosion efallai y bydd gorbenion ffatrïoedd neu weithgynhyrchu).</w:t>
              </w:r>
            </w:hyperlink>
            <w:r>
              <w:rPr>
                <w:rFonts w:ascii="Arial" w:hAnsi="Arial"/>
                <w:color w:val="FF0000"/>
                <w:sz w:val="22"/>
              </w:rPr>
              <w:t xml:space="preserve"> Gallai costau prif swyddfa neu gostau gweinyddol gynnwys: costau eiddo, taliadau cyllid ar fenthyciadau, yswiriant, staff, trethi, ymgynghorwyr allanol, gweithgareddau marchnata a thendro. Bydd y rhan fwyaf o sefydliadau contractio’n cyfrifo canran yn erbyn costau’r prosiect i’w gosod yn erbyn pob prosiect, rhywle rhwng 2.5% a 10%, i dalu am wasanaethau’r prif swyddfa.</w:t>
            </w:r>
          </w:p>
        </w:tc>
      </w:tr>
      <w:tr w:rsidR="007250F5" w14:paraId="5F65CFCD" w14:textId="77777777" w:rsidTr="001F0F68">
        <w:tc>
          <w:tcPr>
            <w:tcW w:w="1696" w:type="dxa"/>
          </w:tcPr>
          <w:p w14:paraId="30C12651" w14:textId="4B297A02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>
              <w:t>Twf</w:t>
            </w:r>
          </w:p>
        </w:tc>
        <w:tc>
          <w:tcPr>
            <w:tcW w:w="7938" w:type="dxa"/>
          </w:tcPr>
          <w:p w14:paraId="7CE7B05D" w14:textId="76F24CCD" w:rsidR="007250F5" w:rsidRPr="001F0F68" w:rsidRDefault="002B1EA4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  <w:shd w:val="clear" w:color="auto" w:fill="FFFFFF"/>
              </w:rPr>
            </w:pPr>
            <w:r>
              <w:rPr>
                <w:color w:val="FF0000"/>
                <w:shd w:val="clear" w:color="auto" w:fill="FFFFFF"/>
              </w:rPr>
              <w:t>Mae cwmnïau adeiladu’n awyddus drwy'r amser i dyfu ac i gadw staff a chynyddu maint yr elw. Mae Twf Busnes yn gam lle mae’r busnes yn cyrraedd y pwynt ar gyfer ehangu ac yn chwilio am opsiynau ychwanegol i greu mwy o elw. Mae twf busnes yn rhan o gylch bywyd busnes, tueddiadau twf y diwydiant, ac awydd perchnogion am greu gwerth ecwiti.</w:t>
            </w:r>
          </w:p>
        </w:tc>
      </w:tr>
      <w:tr w:rsidR="007250F5" w14:paraId="699201A2" w14:textId="77777777" w:rsidTr="001F0F68">
        <w:tc>
          <w:tcPr>
            <w:tcW w:w="1696" w:type="dxa"/>
          </w:tcPr>
          <w:p w14:paraId="5FE1DA97" w14:textId="12AE4845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>
              <w:t>Rhwydweithio</w:t>
            </w:r>
          </w:p>
        </w:tc>
        <w:tc>
          <w:tcPr>
            <w:tcW w:w="7938" w:type="dxa"/>
          </w:tcPr>
          <w:p w14:paraId="768BBB01" w14:textId="1E9DE44B" w:rsidR="007250F5" w:rsidRPr="001F0F68" w:rsidRDefault="007250F5" w:rsidP="00021752">
            <w:pPr>
              <w:spacing w:before="0" w:after="0" w:line="240" w:lineRule="auto"/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  <w:shd w:val="clear" w:color="auto" w:fill="FFFFFF"/>
              </w:rPr>
              <w:t>Mae rhwydweithio yn weithgaredd busnes economaidd-gymdeithasol lle mae pobl fusnes ac entrepreneuriaid yn cwrdd i greu cysylltiadau busnes ac i adnabod, creu neu weithredu ar gyfleoedd busnes, rhannu gwybodaeth a chwilio am bartneriaid posib ar gyfer mentrau. Gall rhwydweithio ym maes adeiladu gynyddu’r siawns y bydd busnes yn cael mwy o waith neu gontractau yn y dyfodol.</w:t>
            </w:r>
          </w:p>
        </w:tc>
      </w:tr>
      <w:tr w:rsidR="007250F5" w14:paraId="1A5F0364" w14:textId="77777777" w:rsidTr="001F0F68">
        <w:tc>
          <w:tcPr>
            <w:tcW w:w="1696" w:type="dxa"/>
          </w:tcPr>
          <w:p w14:paraId="21558FD3" w14:textId="3B96992D" w:rsidR="007250F5" w:rsidRPr="001F0F68" w:rsidRDefault="007250F5" w:rsidP="00021752">
            <w:pPr>
              <w:spacing w:before="0" w:after="0" w:line="240" w:lineRule="auto"/>
              <w:rPr>
                <w:rFonts w:cs="Arial"/>
                <w:szCs w:val="22"/>
              </w:rPr>
            </w:pPr>
            <w:r>
              <w:t>Elw</w:t>
            </w:r>
          </w:p>
        </w:tc>
        <w:tc>
          <w:tcPr>
            <w:tcW w:w="7938" w:type="dxa"/>
          </w:tcPr>
          <w:p w14:paraId="6A7B61AC" w14:textId="3ADA5B72" w:rsidR="007250F5" w:rsidRPr="001F0F68" w:rsidRDefault="007250F5" w:rsidP="0002175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color w:val="FF0000"/>
                <w:sz w:val="22"/>
              </w:rPr>
              <w:t>Ar brosiectau adeiladu, cyfeirir at elw a gorbenion fel arfer mewn perthynas â chontractwyr. O ran prosiectau unigol, gellir diffinio elw fel yr arian y mae’r prosiect yn ei wneud ar ôl cyfrif yr holl gostau a threuliau. Bydd canran yr elw y gallai contractwr ei roi yn ei bris tendro, yn amrywio yn ôl risg, llwyth gwaith a hinsawdd economaidd. Gall hefyd ymwneud â throsiant cyfalaf a ddefnyddir ar gyfer pob prosiect; po fwyaf o weithiau y gall contractwr droi ei gyfalaf ar brosiect, y mwyaf y gall fforddio torri maint yr elw.</w:t>
            </w:r>
          </w:p>
        </w:tc>
      </w:tr>
    </w:tbl>
    <w:p w14:paraId="575880A2" w14:textId="77777777" w:rsidR="004C225C" w:rsidRPr="004C225C" w:rsidRDefault="004C225C" w:rsidP="004C225C"/>
    <w:sectPr w:rsidR="004C225C" w:rsidRPr="004C225C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24A8C" w14:textId="77777777" w:rsidR="006341A0" w:rsidRDefault="006341A0">
      <w:pPr>
        <w:spacing w:before="0" w:after="0"/>
      </w:pPr>
      <w:r>
        <w:separator/>
      </w:r>
    </w:p>
  </w:endnote>
  <w:endnote w:type="continuationSeparator" w:id="0">
    <w:p w14:paraId="1E5FEC16" w14:textId="77777777" w:rsidR="006341A0" w:rsidRDefault="006341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E7D04" w14:textId="77777777" w:rsidR="00936214" w:rsidRDefault="00936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EAB134" w:rsidR="00110217" w:rsidRPr="00F03E33" w:rsidRDefault="00E156C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936214">
      <w:fldChar w:fldCharType="begin"/>
    </w:r>
    <w:r w:rsidR="00936214">
      <w:instrText xml:space="preserve"> NUMPAGES   \* MERGEFORMAT </w:instrText>
    </w:r>
    <w:r w:rsidR="00936214">
      <w:fldChar w:fldCharType="separate"/>
    </w:r>
    <w:r w:rsidR="00F03E33">
      <w:t>1</w:t>
    </w:r>
    <w:r w:rsidR="0093621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1404" w14:textId="77777777" w:rsidR="00936214" w:rsidRDefault="00936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7DA0" w14:textId="77777777" w:rsidR="006341A0" w:rsidRDefault="006341A0">
      <w:pPr>
        <w:spacing w:before="0" w:after="0"/>
      </w:pPr>
      <w:r>
        <w:separator/>
      </w:r>
    </w:p>
  </w:footnote>
  <w:footnote w:type="continuationSeparator" w:id="0">
    <w:p w14:paraId="45670917" w14:textId="77777777" w:rsidR="006341A0" w:rsidRDefault="006341A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CEA2" w14:textId="77777777" w:rsidR="00936214" w:rsidRDefault="00936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641E8B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936214">
      <w:rPr>
        <w:sz w:val="28"/>
      </w:rPr>
      <w:br/>
    </w:r>
    <w:r>
      <w:rPr>
        <w:b/>
        <w:sz w:val="28"/>
      </w:rPr>
      <w:t xml:space="preserve">Adeiladu a Pheirianneg </w:t>
    </w:r>
    <w:r w:rsidR="005C0E60">
      <w:rPr>
        <w:b/>
        <w:sz w:val="28"/>
      </w:rPr>
      <w:t>Gwasanaethau Adeiladu</w:t>
    </w:r>
  </w:p>
  <w:p w14:paraId="6D5BF42A" w14:textId="790EF73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1AC10" w14:textId="77777777" w:rsidR="00936214" w:rsidRDefault="009362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D1043"/>
    <w:multiLevelType w:val="hybridMultilevel"/>
    <w:tmpl w:val="3E90A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30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8"/>
  </w:num>
  <w:num w:numId="14">
    <w:abstractNumId w:val="26"/>
  </w:num>
  <w:num w:numId="15">
    <w:abstractNumId w:val="16"/>
  </w:num>
  <w:num w:numId="16">
    <w:abstractNumId w:val="10"/>
  </w:num>
  <w:num w:numId="17">
    <w:abstractNumId w:val="32"/>
  </w:num>
  <w:num w:numId="18">
    <w:abstractNumId w:val="34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1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4"/>
  </w:num>
  <w:num w:numId="36">
    <w:abstractNumId w:val="25"/>
  </w:num>
  <w:num w:numId="37">
    <w:abstractNumId w:val="9"/>
  </w:num>
  <w:num w:numId="38">
    <w:abstractNumId w:val="19"/>
  </w:num>
  <w:num w:numId="39">
    <w:abstractNumId w:val="37"/>
  </w:num>
  <w:num w:numId="40">
    <w:abstractNumId w:val="1"/>
  </w:num>
  <w:num w:numId="41">
    <w:abstractNumId w:val="36"/>
  </w:num>
  <w:num w:numId="42">
    <w:abstractNumId w:val="3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33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752"/>
    <w:rsid w:val="00082C62"/>
    <w:rsid w:val="000B231F"/>
    <w:rsid w:val="000B2807"/>
    <w:rsid w:val="000E194B"/>
    <w:rsid w:val="00110217"/>
    <w:rsid w:val="0014141E"/>
    <w:rsid w:val="00152AC3"/>
    <w:rsid w:val="00156AF3"/>
    <w:rsid w:val="0019491D"/>
    <w:rsid w:val="001F0F68"/>
    <w:rsid w:val="001F74AD"/>
    <w:rsid w:val="00243CCB"/>
    <w:rsid w:val="002B1EA4"/>
    <w:rsid w:val="002C4032"/>
    <w:rsid w:val="002D07A8"/>
    <w:rsid w:val="003405EA"/>
    <w:rsid w:val="00404B31"/>
    <w:rsid w:val="004145CA"/>
    <w:rsid w:val="00434578"/>
    <w:rsid w:val="00437D1C"/>
    <w:rsid w:val="00454AD1"/>
    <w:rsid w:val="00474F67"/>
    <w:rsid w:val="0048500D"/>
    <w:rsid w:val="004A2174"/>
    <w:rsid w:val="004C225C"/>
    <w:rsid w:val="00524E1B"/>
    <w:rsid w:val="005C0E60"/>
    <w:rsid w:val="005F1A1B"/>
    <w:rsid w:val="006135C0"/>
    <w:rsid w:val="006341A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50F5"/>
    <w:rsid w:val="00797FA7"/>
    <w:rsid w:val="00832AD4"/>
    <w:rsid w:val="008768C0"/>
    <w:rsid w:val="008C1F1C"/>
    <w:rsid w:val="008D47A6"/>
    <w:rsid w:val="00917FDC"/>
    <w:rsid w:val="00930403"/>
    <w:rsid w:val="00936214"/>
    <w:rsid w:val="00937EB1"/>
    <w:rsid w:val="00943622"/>
    <w:rsid w:val="00963B2E"/>
    <w:rsid w:val="00967EEE"/>
    <w:rsid w:val="009975A0"/>
    <w:rsid w:val="009C5C6E"/>
    <w:rsid w:val="009C6648"/>
    <w:rsid w:val="009F3967"/>
    <w:rsid w:val="009F5CD6"/>
    <w:rsid w:val="00A04F4F"/>
    <w:rsid w:val="00A2454C"/>
    <w:rsid w:val="00A60089"/>
    <w:rsid w:val="00A70C46"/>
    <w:rsid w:val="00A90E92"/>
    <w:rsid w:val="00A95D7C"/>
    <w:rsid w:val="00AE1ECE"/>
    <w:rsid w:val="00AE245C"/>
    <w:rsid w:val="00B054EC"/>
    <w:rsid w:val="00B5017F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DF4F8D"/>
    <w:rsid w:val="00E156CF"/>
    <w:rsid w:val="00F03E33"/>
    <w:rsid w:val="00F15749"/>
    <w:rsid w:val="00F33B3E"/>
    <w:rsid w:val="00F42A36"/>
    <w:rsid w:val="00F47710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F0F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designingbuildings.co.uk/wiki/C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2020-05-17T15:48:00Z</dcterms:created>
  <dcterms:modified xsi:type="dcterms:W3CDTF">2021-04-27T16:07:00Z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