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5BE23A8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0F6CBE72" w:rsidR="001259FF" w:rsidRDefault="00AA0E5F" w:rsidP="00A60089">
      <w:pPr>
        <w:pStyle w:val="Heading1"/>
      </w:pPr>
      <w:r>
        <w:t>Taflen waith 9: Gweithgaredd risg (dysgwyr)</w:t>
      </w:r>
    </w:p>
    <w:p w14:paraId="1E33C396" w14:textId="18310E29" w:rsidR="00E91689" w:rsidRPr="00E91689" w:rsidRDefault="00E91689" w:rsidP="00DF513F">
      <w:pPr>
        <w:pStyle w:val="Normalnumberedlist"/>
      </w:pPr>
      <w:r>
        <w:t>Edrychwch ar y ddau dabl isod, a thynnu llinell i baru'r math o berygl â’i ddisgrifiad cywir.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tbl>
      <w:tblPr>
        <w:tblStyle w:val="TableGrid"/>
        <w:tblW w:w="8516" w:type="dxa"/>
        <w:tblLook w:val="04A0" w:firstRow="1" w:lastRow="0" w:firstColumn="1" w:lastColumn="0" w:noHBand="0" w:noVBand="1"/>
      </w:tblPr>
      <w:tblGrid>
        <w:gridCol w:w="2235"/>
        <w:gridCol w:w="1896"/>
        <w:gridCol w:w="4385"/>
      </w:tblGrid>
      <w:tr w:rsidR="00AC6B9B" w:rsidRPr="00AC6B9B" w14:paraId="0E11B83B" w14:textId="77777777" w:rsidTr="00AC6B9B">
        <w:tc>
          <w:tcPr>
            <w:tcW w:w="1483" w:type="dxa"/>
            <w:shd w:val="clear" w:color="auto" w:fill="auto"/>
            <w:vAlign w:val="center"/>
          </w:tcPr>
          <w:p w14:paraId="1C7B9629" w14:textId="77777777" w:rsidR="00E91689" w:rsidRPr="00AC6B9B" w:rsidRDefault="00E91689" w:rsidP="00047701">
            <w:pPr>
              <w:tabs>
                <w:tab w:val="left" w:pos="1669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Y Perygl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4C3C71F2" w14:textId="77777777" w:rsidR="00E91689" w:rsidRPr="00AC6B9B" w:rsidRDefault="00E91689" w:rsidP="00047701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864" w:type="dxa"/>
            <w:shd w:val="clear" w:color="auto" w:fill="auto"/>
            <w:vAlign w:val="center"/>
          </w:tcPr>
          <w:p w14:paraId="45EC1C97" w14:textId="77777777" w:rsidR="00E91689" w:rsidRPr="00AC6B9B" w:rsidRDefault="00E91689" w:rsidP="00047701">
            <w:pPr>
              <w:rPr>
                <w:rFonts w:cs="Arial"/>
                <w:b/>
                <w:szCs w:val="22"/>
              </w:rPr>
            </w:pPr>
            <w:r>
              <w:rPr>
                <w:b/>
              </w:rPr>
              <w:t>Y Disgrifiad</w:t>
            </w:r>
          </w:p>
        </w:tc>
      </w:tr>
      <w:tr w:rsidR="00E91689" w:rsidRPr="00E91689" w14:paraId="2513E05D" w14:textId="77777777" w:rsidTr="00047701">
        <w:tc>
          <w:tcPr>
            <w:tcW w:w="1483" w:type="dxa"/>
            <w:vAlign w:val="center"/>
          </w:tcPr>
          <w:p w14:paraId="58D56E13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Tanau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0EECA30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2737DC8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Gallai'r rhain fod yn sylweddau peryglus; hyd yn oed os nad ydynt yn sylweddau peryglus, rhaid eu glanhau oherwydd gallant achosi perygl ychwanegol o lithro. Mae risg o losgi neu broblemau gyda’r croen. Rhaid delio â nhw a’u glanhau ar unwaith, gan ddilyn y cynllun presennol.</w:t>
            </w:r>
          </w:p>
        </w:tc>
      </w:tr>
      <w:tr w:rsidR="00E91689" w:rsidRPr="00E91689" w14:paraId="7296D70F" w14:textId="77777777" w:rsidTr="00047701">
        <w:tc>
          <w:tcPr>
            <w:tcW w:w="1483" w:type="dxa"/>
            <w:vAlign w:val="center"/>
          </w:tcPr>
          <w:p w14:paraId="069327E8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Baglu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566E93C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6B27D803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Nid dim ond tân neu wres sy’n achosi hyn – mae dod i gysylltiad â chemegion â thrydan, a hyd yn oed bod yn yr haul am ormod o amser, yn gallu achosi hyn.</w:t>
            </w:r>
          </w:p>
        </w:tc>
      </w:tr>
      <w:tr w:rsidR="00E91689" w:rsidRPr="00E91689" w14:paraId="71052864" w14:textId="77777777" w:rsidTr="00047701">
        <w:tc>
          <w:tcPr>
            <w:tcW w:w="1483" w:type="dxa"/>
            <w:vAlign w:val="center"/>
          </w:tcPr>
          <w:p w14:paraId="1FC550EA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Arllwysiadau cemegol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6FBDDB39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61901F14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Maen nhw’n gallu achosi llosgiadau, anawsterau anadlu a niwed a difrod eang. Mae angen tri pheth arnynt: ocsigen, gwres a thanwydd.</w:t>
            </w:r>
          </w:p>
        </w:tc>
      </w:tr>
      <w:tr w:rsidR="00E91689" w:rsidRPr="00E91689" w14:paraId="2848C9FC" w14:textId="77777777" w:rsidTr="00047701">
        <w:tc>
          <w:tcPr>
            <w:tcW w:w="1483" w:type="dxa"/>
            <w:vAlign w:val="center"/>
          </w:tcPr>
          <w:p w14:paraId="6DEB744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Syrthio o fannau uchel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7CD8634A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14660133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sylweddau a ddefnyddir yn aml ym maes adeiladu yn gallu achosi salwch, ee, yn sgil llwch, llwydni, bacteria ac asbestos.</w:t>
            </w:r>
          </w:p>
        </w:tc>
      </w:tr>
      <w:tr w:rsidR="00E91689" w:rsidRPr="00E91689" w14:paraId="3D0F0AD5" w14:textId="77777777" w:rsidTr="00047701">
        <w:tc>
          <w:tcPr>
            <w:tcW w:w="1483" w:type="dxa"/>
            <w:vAlign w:val="center"/>
          </w:tcPr>
          <w:p w14:paraId="0B7994D4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Llosgiadau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524F390B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444C456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defnyddio offer anniogel neu ddod i gysylltiad â gwifrau byw, llinellau pŵer uwchben neu geblau wedi’u claddu yn gallu achosi sioc, llosgiadau neu farwolaeth.</w:t>
            </w:r>
          </w:p>
        </w:tc>
      </w:tr>
      <w:tr w:rsidR="00E91689" w:rsidRPr="00E91689" w14:paraId="4E71C972" w14:textId="77777777" w:rsidTr="00047701">
        <w:tc>
          <w:tcPr>
            <w:tcW w:w="1483" w:type="dxa"/>
            <w:vAlign w:val="center"/>
          </w:tcPr>
          <w:p w14:paraId="051F70B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Trydanol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2234B098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5A6777F5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cyfarpar, peiriannau a cherbydau mawr sy’n symud i’w gweld yn aml ar safleoedd adeiladu. Bydd cadw traffig ar wahân i lwybrau cerdded, a darparu mannau diogel i groesi, yn helpu i osgoi damweiniau.</w:t>
            </w:r>
          </w:p>
        </w:tc>
      </w:tr>
      <w:tr w:rsidR="00E91689" w:rsidRPr="00E91689" w14:paraId="4727962E" w14:textId="77777777" w:rsidTr="00047701">
        <w:tc>
          <w:tcPr>
            <w:tcW w:w="1483" w:type="dxa"/>
            <w:vAlign w:val="center"/>
          </w:tcPr>
          <w:p w14:paraId="7E49F34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Dod i gysylltiad â sylweddau peryglus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7606D4F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7F24F067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risg o anaf parhaol; mae’n gallu digwydd yn sgil defnyddio, gosod neu gynnal a chadw cyfarpar mynediad yn anghywir, fel ysgolion a sgaffaldiau.</w:t>
            </w:r>
          </w:p>
        </w:tc>
      </w:tr>
      <w:tr w:rsidR="00E91689" w:rsidRPr="00E91689" w14:paraId="1468E838" w14:textId="77777777" w:rsidTr="00047701">
        <w:tc>
          <w:tcPr>
            <w:tcW w:w="1483" w:type="dxa"/>
            <w:vAlign w:val="center"/>
          </w:tcPr>
          <w:p w14:paraId="54B938C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Peiriannau/cerbydau</w:t>
            </w:r>
          </w:p>
        </w:tc>
        <w:tc>
          <w:tcPr>
            <w:tcW w:w="2169" w:type="dxa"/>
            <w:tcBorders>
              <w:top w:val="nil"/>
              <w:bottom w:val="nil"/>
            </w:tcBorders>
            <w:shd w:val="clear" w:color="auto" w:fill="auto"/>
          </w:tcPr>
          <w:p w14:paraId="60C5055C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</w:p>
        </w:tc>
        <w:tc>
          <w:tcPr>
            <w:tcW w:w="4864" w:type="dxa"/>
            <w:vAlign w:val="center"/>
          </w:tcPr>
          <w:p w14:paraId="016B820D" w14:textId="77777777" w:rsidR="00E91689" w:rsidRPr="00E91689" w:rsidRDefault="00E91689" w:rsidP="00047701">
            <w:pPr>
              <w:pStyle w:val="Tabletext1"/>
              <w:rPr>
                <w:sz w:val="22"/>
                <w:szCs w:val="22"/>
              </w:rPr>
            </w:pPr>
            <w:r>
              <w:rPr>
                <w:sz w:val="22"/>
              </w:rPr>
              <w:t>Mae gadael deunyddiau a chyfarpar o gwmpas y lle, er enghraifft hylifau sydd wedi gollwng neu geblau’n llusgo, yn gallu achosi damweiniau. Dyma yw'r rheswm mwyaf cyffredin am anafiadau sy’n cael eu cofnodi ar safleoedd adeiladu yn y DU.</w:t>
            </w:r>
          </w:p>
        </w:tc>
      </w:tr>
    </w:tbl>
    <w:p w14:paraId="16A3E3E4" w14:textId="1DF38254" w:rsidR="00CB524F" w:rsidRPr="00683745" w:rsidRDefault="00CB524F" w:rsidP="00683745">
      <w:pPr>
        <w:rPr>
          <w:rFonts w:cs="Arial"/>
          <w:szCs w:val="22"/>
        </w:rPr>
      </w:pPr>
    </w:p>
    <w:sectPr w:rsidR="00CB524F" w:rsidRPr="0068374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C460" w14:textId="77777777" w:rsidR="009874C8" w:rsidRDefault="009874C8">
      <w:pPr>
        <w:spacing w:before="0" w:after="0"/>
      </w:pPr>
      <w:r>
        <w:separator/>
      </w:r>
    </w:p>
  </w:endnote>
  <w:endnote w:type="continuationSeparator" w:id="0">
    <w:p w14:paraId="522D5A08" w14:textId="77777777" w:rsidR="009874C8" w:rsidRDefault="009874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602B" w14:textId="77777777" w:rsidR="00A5395B" w:rsidRDefault="00A539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4421EEFA" w:rsidR="00110217" w:rsidRPr="00F03E33" w:rsidRDefault="00AC6B9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9513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795130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4C1B" w14:textId="77777777" w:rsidR="00A5395B" w:rsidRDefault="00A53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216B" w14:textId="77777777" w:rsidR="009874C8" w:rsidRDefault="009874C8">
      <w:pPr>
        <w:spacing w:before="0" w:after="0"/>
      </w:pPr>
      <w:r>
        <w:separator/>
      </w:r>
    </w:p>
  </w:footnote>
  <w:footnote w:type="continuationSeparator" w:id="0">
    <w:p w14:paraId="66329337" w14:textId="77777777" w:rsidR="009874C8" w:rsidRDefault="009874C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2878" w14:textId="77777777" w:rsidR="00A5395B" w:rsidRDefault="00A539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5AB7" w14:textId="77777777" w:rsidR="00A5395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2C2A89F" w14:textId="77A01444" w:rsidR="00AC6B9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A5395B">
      <w:rPr>
        <w:b/>
        <w:sz w:val="28"/>
      </w:rPr>
      <w:t xml:space="preserve"> </w:t>
    </w:r>
    <w:r>
      <w:rPr>
        <w:b/>
        <w:sz w:val="28"/>
      </w:rPr>
      <w:t>a Pheirianneg</w:t>
    </w:r>
    <w:r w:rsidR="00AC6B9B">
      <w:rPr>
        <w:b/>
        <w:sz w:val="28"/>
      </w:rPr>
      <w:t>Gwasanaethau Adeiladu</w:t>
    </w:r>
  </w:p>
  <w:p w14:paraId="7C7EE0C3" w14:textId="3629C77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9</w:t>
    </w:r>
    <w:r w:rsidR="00795130">
      <w:rPr>
        <w:color w:val="0077E3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8FB2" w14:textId="77777777" w:rsidR="00A5395B" w:rsidRDefault="00A539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704E1"/>
    <w:rsid w:val="005A4AC9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51CB5"/>
    <w:rsid w:val="00795130"/>
    <w:rsid w:val="00796699"/>
    <w:rsid w:val="00797FA7"/>
    <w:rsid w:val="007990E9"/>
    <w:rsid w:val="007D1E03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874C8"/>
    <w:rsid w:val="009975A0"/>
    <w:rsid w:val="009C5C6E"/>
    <w:rsid w:val="009F5CD6"/>
    <w:rsid w:val="00A2454C"/>
    <w:rsid w:val="00A5395B"/>
    <w:rsid w:val="00A60089"/>
    <w:rsid w:val="00A70C46"/>
    <w:rsid w:val="00A90E92"/>
    <w:rsid w:val="00A95D7C"/>
    <w:rsid w:val="00AA0E5F"/>
    <w:rsid w:val="00AC6B9B"/>
    <w:rsid w:val="00AE245C"/>
    <w:rsid w:val="00B054EC"/>
    <w:rsid w:val="00B2042F"/>
    <w:rsid w:val="00B261C8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B524F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DF513F"/>
    <w:rsid w:val="00E91689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2021-04-22T17:33:00Z</dcterms:created>
  <dcterms:modified xsi:type="dcterms:W3CDTF">2021-05-04T09:34:00Z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