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07604" w14:textId="7562BB3D" w:rsidR="00474F67" w:rsidRPr="007F05E6" w:rsidRDefault="00474F67" w:rsidP="0052385B">
      <w:pPr>
        <w:pStyle w:val="Unittitle"/>
      </w:pPr>
      <w:r>
        <w:t>Uned 105: Amddiffyn iechyd, diogelwch a’r amgylchedd wrth weithio yn y sector adeiladu a’r amgylchedd adeiledig</w:t>
      </w:r>
    </w:p>
    <w:p w14:paraId="5C5C47ED" w14:textId="72648F4C" w:rsidR="001259FF" w:rsidRDefault="00AA0E5F" w:rsidP="0052385B">
      <w:pPr>
        <w:pStyle w:val="Heading1"/>
      </w:pPr>
      <w:r>
        <w:t>Taflen waith 12: Gwybodaeth am ddatganiad dull (tiwtor)</w:t>
      </w:r>
    </w:p>
    <w:p w14:paraId="01DFE8AA" w14:textId="0BDC8072" w:rsidR="003A74C1" w:rsidRPr="0010738A" w:rsidRDefault="00307D4C" w:rsidP="0052385B">
      <w:pPr>
        <w:pStyle w:val="Normalnumberedlist"/>
        <w:spacing w:line="240" w:lineRule="auto"/>
        <w:rPr>
          <w:szCs w:val="22"/>
        </w:rPr>
      </w:pPr>
      <w:r>
        <w:t>Rhaid cael datganiadau dull er mwyn i bawb gael proses gam-wrth-gam sy’n egluro sut i gyflawni tasg yn ddiogel. Isod, mewn print trwm, fe welwch chi deitlau cyffredinol yr hyn y dylid ei ystyried wrth baratoi datganiad dull. Darllenwch y teitlau ac ychwanegu’r wybodaeth/ystyriaet</w:t>
      </w:r>
      <w:r w:rsidR="0052385B">
        <w:t>hau rydych chi’n teimlo sydd</w:t>
      </w:r>
      <w:r>
        <w:t xml:space="preserve"> eu hangen o dan y pennawd hwnnw ar gyfer gweithgaredd concritio sylfaen ar safle adeiladu. (gall y tiwtor newid y gweithgaredd er mwyn iddo fod yn addas)</w:t>
      </w:r>
    </w:p>
    <w:p w14:paraId="50474D47" w14:textId="77777777" w:rsidR="006315F7" w:rsidRPr="00F717A9" w:rsidRDefault="006315F7" w:rsidP="0052385B">
      <w:pPr>
        <w:spacing w:before="0" w:after="0" w:line="240" w:lineRule="auto"/>
        <w:rPr>
          <w:szCs w:val="22"/>
        </w:rPr>
      </w:pPr>
    </w:p>
    <w:p w14:paraId="7222EFE9" w14:textId="73DDA130" w:rsidR="00E56F91" w:rsidRDefault="00E56F91" w:rsidP="0052385B">
      <w:pPr>
        <w:spacing w:before="0" w:after="0" w:line="240" w:lineRule="auto"/>
        <w:rPr>
          <w:rFonts w:eastAsia="Times New Roman" w:cs="Arial"/>
          <w:szCs w:val="22"/>
        </w:rPr>
      </w:pPr>
      <w:r>
        <w:t>Dyma’r prif beryglon i’w hystyried o ran eich iechyd a’ch diogelwch:</w:t>
      </w:r>
    </w:p>
    <w:p w14:paraId="187D9EC2" w14:textId="77777777" w:rsidR="00F717A9" w:rsidRPr="00F717A9" w:rsidRDefault="00F717A9" w:rsidP="0052385B">
      <w:pPr>
        <w:spacing w:before="0" w:after="0" w:line="240" w:lineRule="auto"/>
        <w:rPr>
          <w:rFonts w:eastAsia="Times New Roman" w:cs="Arial"/>
          <w:szCs w:val="22"/>
          <w:lang w:eastAsia="en-GB"/>
        </w:rPr>
      </w:pPr>
    </w:p>
    <w:p w14:paraId="415ABF92" w14:textId="4521136B" w:rsidR="00E56F91" w:rsidRPr="0085178A" w:rsidRDefault="00E56F91" w:rsidP="0052385B">
      <w:pPr>
        <w:pStyle w:val="Answernumbered"/>
      </w:pPr>
      <w:r>
        <w:t xml:space="preserve">Cyswllt â gwasanaethau byw o dan y ddaear. </w:t>
      </w:r>
    </w:p>
    <w:p w14:paraId="51741CAE" w14:textId="3AFBD6CC" w:rsidR="00E56F91" w:rsidRPr="0085178A" w:rsidRDefault="000453CB" w:rsidP="0052385B">
      <w:pPr>
        <w:pStyle w:val="Answernumbered"/>
      </w:pPr>
      <w:r>
        <w:t>Ffos/mannau</w:t>
      </w:r>
      <w:r w:rsidR="00E56F91">
        <w:t xml:space="preserve"> cloddio yn dymchwel. </w:t>
      </w:r>
    </w:p>
    <w:p w14:paraId="6E7D147A" w14:textId="1FA3C099" w:rsidR="00E56F91" w:rsidRPr="0085178A" w:rsidRDefault="00E56F91" w:rsidP="0052385B">
      <w:pPr>
        <w:pStyle w:val="Answernumbered"/>
      </w:pPr>
      <w:r>
        <w:t xml:space="preserve">Syrthio i ffosydd, cyfarpar yn syrthio. </w:t>
      </w:r>
    </w:p>
    <w:p w14:paraId="4F878148" w14:textId="682076EF" w:rsidR="00E56F91" w:rsidRPr="0085178A" w:rsidRDefault="00E56F91" w:rsidP="0052385B">
      <w:pPr>
        <w:pStyle w:val="Answernumbered"/>
      </w:pPr>
      <w:r>
        <w:t xml:space="preserve">Anaf i weithredwyr peiriannau trwm, ac i bobl eraill, wrth ddod i gysylltiad â’r peiriannau. </w:t>
      </w:r>
    </w:p>
    <w:p w14:paraId="1C7795D4" w14:textId="46459CF3" w:rsidR="00E56F91" w:rsidRPr="0085178A" w:rsidRDefault="00E56F91" w:rsidP="0052385B">
      <w:pPr>
        <w:pStyle w:val="Answernumbered"/>
      </w:pPr>
      <w:r>
        <w:t xml:space="preserve">Anaf oherwydd techneg anghywir wrth godi a chario. </w:t>
      </w:r>
    </w:p>
    <w:p w14:paraId="32BBA45B" w14:textId="7C6A9CB9" w:rsidR="00E56F91" w:rsidRPr="0085178A" w:rsidRDefault="00E56F91" w:rsidP="0052385B">
      <w:pPr>
        <w:pStyle w:val="Answernumbered"/>
      </w:pPr>
      <w:r>
        <w:t xml:space="preserve">Anaf yn sgil llithro, baglu a syrthio. </w:t>
      </w:r>
    </w:p>
    <w:p w14:paraId="639D15B1" w14:textId="182FED09" w:rsidR="00E56F91" w:rsidRPr="0085178A" w:rsidRDefault="00E56F91" w:rsidP="0052385B">
      <w:pPr>
        <w:pStyle w:val="Answernumbered"/>
      </w:pPr>
      <w:r>
        <w:t xml:space="preserve">Risgiau o leptosbirosis (clefyd Weil) a chlefydau eraill sy’n cael eu cludo gan ddŵr. </w:t>
      </w:r>
    </w:p>
    <w:p w14:paraId="1C5610F4" w14:textId="5E88BCA7" w:rsidR="00E56F91" w:rsidRPr="0085178A" w:rsidRDefault="00E56F91" w:rsidP="0052385B">
      <w:pPr>
        <w:pStyle w:val="Answernumbered"/>
      </w:pPr>
      <w:r>
        <w:t xml:space="preserve">Anaf oherwydd gweithredoedd amhriodol contractwyr eraill ar y safle. </w:t>
      </w:r>
    </w:p>
    <w:p w14:paraId="2CD51877" w14:textId="4463798D" w:rsidR="00E56F91" w:rsidRPr="0085178A" w:rsidRDefault="00E56F91" w:rsidP="0052385B">
      <w:pPr>
        <w:pStyle w:val="Answernumbered"/>
      </w:pPr>
      <w:r>
        <w:t xml:space="preserve">Anaf i aelodau o’r cyhoedd yn ystod gweithrediadau. </w:t>
      </w:r>
    </w:p>
    <w:p w14:paraId="0ECACE1F" w14:textId="15522EF7" w:rsidR="006315F7" w:rsidRPr="00F717A9" w:rsidRDefault="006315F7" w:rsidP="0052385B">
      <w:pPr>
        <w:pStyle w:val="Normalnumberedlist"/>
        <w:numPr>
          <w:ilvl w:val="0"/>
          <w:numId w:val="0"/>
        </w:numPr>
        <w:ind w:left="357"/>
        <w:rPr>
          <w:rFonts w:eastAsia="Times New Roman" w:cs="Arial"/>
          <w:szCs w:val="22"/>
          <w:lang w:eastAsia="en-GB"/>
        </w:rPr>
      </w:pPr>
    </w:p>
    <w:p w14:paraId="0CE079F3" w14:textId="77777777" w:rsidR="006315F7" w:rsidRPr="00F717A9" w:rsidRDefault="006315F7" w:rsidP="0052385B">
      <w:pPr>
        <w:spacing w:before="0" w:after="0" w:line="240" w:lineRule="auto"/>
        <w:rPr>
          <w:rFonts w:eastAsia="Times New Roman" w:cs="Arial"/>
          <w:szCs w:val="22"/>
          <w:lang w:eastAsia="en-GB"/>
        </w:rPr>
      </w:pPr>
    </w:p>
    <w:p w14:paraId="70AA72FA" w14:textId="00DD6AEB" w:rsidR="00E56F91" w:rsidRDefault="00E56F91" w:rsidP="0052385B">
      <w:pPr>
        <w:spacing w:before="0" w:after="0" w:line="240" w:lineRule="auto"/>
        <w:rPr>
          <w:rFonts w:eastAsia="Times New Roman" w:cs="Arial"/>
          <w:b/>
          <w:bCs/>
          <w:szCs w:val="22"/>
        </w:rPr>
      </w:pPr>
      <w:r>
        <w:rPr>
          <w:b/>
        </w:rPr>
        <w:t xml:space="preserve">Cyfarpar diogelu personol </w:t>
      </w:r>
    </w:p>
    <w:p w14:paraId="7469786B" w14:textId="77777777" w:rsidR="00513CCD" w:rsidRPr="00F717A9" w:rsidRDefault="00513CCD" w:rsidP="0052385B">
      <w:pPr>
        <w:spacing w:before="0" w:after="0" w:line="240" w:lineRule="auto"/>
        <w:rPr>
          <w:rFonts w:eastAsia="Times New Roman" w:cs="Arial"/>
          <w:b/>
          <w:bCs/>
          <w:szCs w:val="22"/>
          <w:lang w:eastAsia="en-GB"/>
        </w:rPr>
      </w:pPr>
    </w:p>
    <w:p w14:paraId="24C7D1E3" w14:textId="676CC0C1" w:rsidR="00681BD0" w:rsidRPr="00513CCD" w:rsidRDefault="00681BD0" w:rsidP="0052385B">
      <w:pPr>
        <w:spacing w:before="0" w:after="0" w:line="240" w:lineRule="auto"/>
        <w:rPr>
          <w:rFonts w:eastAsia="Times New Roman" w:cs="Arial"/>
          <w:color w:val="FF0000"/>
          <w:szCs w:val="22"/>
        </w:rPr>
      </w:pPr>
      <w:r>
        <w:rPr>
          <w:color w:val="FF0000"/>
        </w:rPr>
        <w:t xml:space="preserve">Bydd holl weithwyr y safle’n gwisgo hetiau caled, esgidiau diogelwch, festiau llachar a dillad diogelwch, bob amser. Mae eitemau eraill o PPE, fel cyfarpar diogelu’r llygaid a menig, ar gael i’w gwisgo yn ôl yr angen. </w:t>
      </w:r>
    </w:p>
    <w:p w14:paraId="5609D9FA" w14:textId="7CC2F82F" w:rsidR="00E56F91" w:rsidRPr="003B7FEA" w:rsidRDefault="00E56F91" w:rsidP="0052385B">
      <w:pPr>
        <w:pStyle w:val="ListParagraph"/>
        <w:numPr>
          <w:ilvl w:val="0"/>
          <w:numId w:val="14"/>
        </w:numPr>
        <w:spacing w:before="0" w:after="0" w:line="240" w:lineRule="auto"/>
        <w:rPr>
          <w:rFonts w:eastAsia="Times New Roman" w:cs="Arial"/>
          <w:color w:val="FF0000"/>
          <w:szCs w:val="22"/>
        </w:rPr>
      </w:pPr>
      <w:r>
        <w:rPr>
          <w:color w:val="FF0000"/>
        </w:rPr>
        <w:t xml:space="preserve">Sbectolau diogelwch </w:t>
      </w:r>
    </w:p>
    <w:p w14:paraId="52FC4115" w14:textId="480CAD6D" w:rsidR="00E56F91" w:rsidRPr="003B7FEA" w:rsidRDefault="00E56F91" w:rsidP="0052385B">
      <w:pPr>
        <w:pStyle w:val="ListParagraph"/>
        <w:numPr>
          <w:ilvl w:val="0"/>
          <w:numId w:val="14"/>
        </w:numPr>
        <w:spacing w:before="0" w:after="0" w:line="240" w:lineRule="auto"/>
        <w:rPr>
          <w:rFonts w:eastAsia="Times New Roman" w:cs="Arial"/>
          <w:color w:val="FF0000"/>
          <w:szCs w:val="22"/>
        </w:rPr>
      </w:pPr>
      <w:r>
        <w:rPr>
          <w:color w:val="FF0000"/>
        </w:rPr>
        <w:t xml:space="preserve">Masgiau llwch </w:t>
      </w:r>
    </w:p>
    <w:p w14:paraId="3259A6BC" w14:textId="346770A4" w:rsidR="00E56F91" w:rsidRPr="003B7FEA" w:rsidRDefault="00E56F91" w:rsidP="0052385B">
      <w:pPr>
        <w:pStyle w:val="ListParagraph"/>
        <w:numPr>
          <w:ilvl w:val="0"/>
          <w:numId w:val="14"/>
        </w:numPr>
        <w:spacing w:before="0" w:after="0" w:line="240" w:lineRule="auto"/>
        <w:rPr>
          <w:rFonts w:eastAsia="Times New Roman" w:cs="Arial"/>
          <w:color w:val="FF0000"/>
          <w:szCs w:val="22"/>
        </w:rPr>
      </w:pPr>
      <w:r>
        <w:rPr>
          <w:color w:val="FF0000"/>
        </w:rPr>
        <w:t xml:space="preserve">Oferôls </w:t>
      </w:r>
    </w:p>
    <w:p w14:paraId="345E478D" w14:textId="3D42015D" w:rsidR="00E56F91" w:rsidRPr="003B7FEA" w:rsidRDefault="00E56F91" w:rsidP="0052385B">
      <w:pPr>
        <w:pStyle w:val="ListParagraph"/>
        <w:numPr>
          <w:ilvl w:val="0"/>
          <w:numId w:val="14"/>
        </w:numPr>
        <w:spacing w:before="0" w:after="0" w:line="240" w:lineRule="auto"/>
        <w:rPr>
          <w:rFonts w:eastAsia="Times New Roman" w:cs="Arial"/>
          <w:color w:val="FF0000"/>
          <w:szCs w:val="22"/>
        </w:rPr>
      </w:pPr>
      <w:r>
        <w:rPr>
          <w:color w:val="FF0000"/>
        </w:rPr>
        <w:t xml:space="preserve">Menig </w:t>
      </w:r>
    </w:p>
    <w:p w14:paraId="1FEBAA1E" w14:textId="62CF100C" w:rsidR="00E56F91" w:rsidRPr="003B7FEA" w:rsidRDefault="00E56F91" w:rsidP="0052385B">
      <w:pPr>
        <w:pStyle w:val="ListParagraph"/>
        <w:numPr>
          <w:ilvl w:val="0"/>
          <w:numId w:val="14"/>
        </w:numPr>
        <w:spacing w:before="0" w:after="0" w:line="240" w:lineRule="auto"/>
        <w:rPr>
          <w:rFonts w:eastAsia="Times New Roman" w:cs="Arial"/>
          <w:color w:val="FF0000"/>
          <w:szCs w:val="22"/>
        </w:rPr>
      </w:pPr>
      <w:r>
        <w:rPr>
          <w:color w:val="FF0000"/>
        </w:rPr>
        <w:t xml:space="preserve">Esgidiau diogelwch </w:t>
      </w:r>
    </w:p>
    <w:p w14:paraId="1168326E" w14:textId="77777777" w:rsidR="006315F7" w:rsidRPr="00F717A9" w:rsidRDefault="006315F7" w:rsidP="0052385B">
      <w:pPr>
        <w:spacing w:before="0" w:after="0" w:line="240" w:lineRule="auto"/>
        <w:ind w:left="720"/>
        <w:rPr>
          <w:rFonts w:eastAsia="Times New Roman" w:cs="Arial"/>
          <w:szCs w:val="22"/>
          <w:lang w:eastAsia="en-GB"/>
        </w:rPr>
      </w:pPr>
    </w:p>
    <w:p w14:paraId="36AB3A2C" w14:textId="3D6CCD81" w:rsidR="00681BD0" w:rsidRDefault="00E56F91" w:rsidP="0052385B">
      <w:pPr>
        <w:spacing w:before="0" w:after="0" w:line="240" w:lineRule="auto"/>
        <w:rPr>
          <w:rFonts w:eastAsia="Times New Roman" w:cs="Arial"/>
          <w:b/>
          <w:bCs/>
          <w:szCs w:val="22"/>
        </w:rPr>
      </w:pPr>
      <w:r>
        <w:rPr>
          <w:b/>
        </w:rPr>
        <w:t>Camau y mae’n rhaid i chi eu cymryd i ddiogelu’r amgylchedd</w:t>
      </w:r>
    </w:p>
    <w:p w14:paraId="1195596D" w14:textId="77777777" w:rsidR="00513CCD" w:rsidRPr="00F717A9" w:rsidRDefault="00513CCD" w:rsidP="0052385B">
      <w:pPr>
        <w:spacing w:before="0" w:after="0" w:line="240" w:lineRule="auto"/>
        <w:rPr>
          <w:rFonts w:eastAsia="Times New Roman" w:cs="Arial"/>
          <w:b/>
          <w:bCs/>
          <w:szCs w:val="22"/>
          <w:lang w:eastAsia="en-GB"/>
        </w:rPr>
      </w:pPr>
    </w:p>
    <w:p w14:paraId="41F695B7" w14:textId="1897AA48" w:rsidR="00E56F91" w:rsidRPr="00513CCD" w:rsidRDefault="00E56F91" w:rsidP="0052385B">
      <w:pPr>
        <w:spacing w:before="0" w:after="0" w:line="240" w:lineRule="auto"/>
        <w:rPr>
          <w:rFonts w:eastAsia="Times New Roman" w:cs="Arial"/>
          <w:color w:val="FF0000"/>
          <w:szCs w:val="22"/>
        </w:rPr>
      </w:pPr>
      <w:r>
        <w:rPr>
          <w:color w:val="FF0000"/>
        </w:rPr>
        <w:t>Rhaid i chi waredu gwastraff a rwbel yn y man dynodedig neu’r sgip a ddarparwyd ar gyfer gwastraff. Rhaid glynu’n gaeth wrth y drefn ganlynol er mwyn sicrhau gwasanaeth o ansawdd da. Os ydych chi’n ansicr, cysylltwch â’ch rheolwr i gael eglurhad cyn bwrw ymlaen.</w:t>
      </w:r>
    </w:p>
    <w:p w14:paraId="2DA4C3CB" w14:textId="77777777" w:rsidR="006315F7" w:rsidRPr="00F717A9" w:rsidRDefault="006315F7" w:rsidP="0052385B">
      <w:pPr>
        <w:spacing w:before="0" w:after="0" w:line="240" w:lineRule="auto"/>
        <w:rPr>
          <w:rFonts w:eastAsia="Times New Roman" w:cs="Arial"/>
          <w:b/>
          <w:bCs/>
          <w:szCs w:val="22"/>
          <w:lang w:eastAsia="en-GB"/>
        </w:rPr>
      </w:pPr>
    </w:p>
    <w:p w14:paraId="2D0DC7DA" w14:textId="432B7E18" w:rsidR="00E56F91" w:rsidRDefault="00E56F91" w:rsidP="0052385B">
      <w:pPr>
        <w:spacing w:before="0" w:after="0" w:line="240" w:lineRule="auto"/>
        <w:rPr>
          <w:rFonts w:eastAsia="Times New Roman" w:cs="Arial"/>
          <w:b/>
          <w:bCs/>
          <w:szCs w:val="22"/>
        </w:rPr>
      </w:pPr>
      <w:r>
        <w:rPr>
          <w:b/>
        </w:rPr>
        <w:t xml:space="preserve">Staff a hyfforddiant </w:t>
      </w:r>
    </w:p>
    <w:p w14:paraId="3DF2192B" w14:textId="77777777" w:rsidR="00513CCD" w:rsidRPr="00F717A9" w:rsidRDefault="00513CCD" w:rsidP="0052385B">
      <w:pPr>
        <w:spacing w:before="0" w:after="0" w:line="240" w:lineRule="auto"/>
        <w:rPr>
          <w:rFonts w:eastAsia="Times New Roman" w:cs="Arial"/>
          <w:b/>
          <w:bCs/>
          <w:szCs w:val="22"/>
          <w:lang w:eastAsia="en-GB"/>
        </w:rPr>
      </w:pPr>
    </w:p>
    <w:p w14:paraId="04B8BC1B" w14:textId="16D2C4F4" w:rsidR="00E56F91" w:rsidRPr="00513CCD" w:rsidRDefault="00E56F91" w:rsidP="0052385B">
      <w:pPr>
        <w:spacing w:before="0" w:after="0" w:line="240" w:lineRule="auto"/>
        <w:rPr>
          <w:rFonts w:eastAsia="Times New Roman" w:cs="Arial"/>
          <w:color w:val="FF0000"/>
          <w:szCs w:val="22"/>
        </w:rPr>
      </w:pPr>
      <w:r>
        <w:rPr>
          <w:color w:val="FF0000"/>
        </w:rPr>
        <w:t xml:space="preserve">Mae pob aelod o staff yn grefftwyr profiadol sydd wedi cael profiad o’r blaen o’r math yma o brosiect. Bydd rheolwr safle yn cael ei benodi i bob contract, a fydd yn gyfrifol am ansawdd a diogelwch. Bydd prentisiaid a gweithwyr ifanc yn cael eu goruchwylio, ac ni chaniateir iddynt gyflawni tasgau nad ydynt wedi cael hyfforddiant ar eu cyfer. </w:t>
      </w:r>
    </w:p>
    <w:p w14:paraId="5D33FAC0" w14:textId="2E2776D6" w:rsidR="006315F7" w:rsidRPr="00F717A9" w:rsidRDefault="006315F7" w:rsidP="0052385B">
      <w:pPr>
        <w:spacing w:before="0" w:after="0" w:line="240" w:lineRule="auto"/>
        <w:rPr>
          <w:rFonts w:eastAsia="Times New Roman" w:cs="Arial"/>
          <w:szCs w:val="22"/>
          <w:lang w:eastAsia="en-GB"/>
        </w:rPr>
      </w:pPr>
    </w:p>
    <w:p w14:paraId="3B06B67A" w14:textId="77777777" w:rsidR="006315F7" w:rsidRPr="00F717A9" w:rsidRDefault="006315F7" w:rsidP="0052385B">
      <w:pPr>
        <w:spacing w:before="0" w:after="0" w:line="240" w:lineRule="auto"/>
        <w:rPr>
          <w:rFonts w:eastAsia="Times New Roman" w:cs="Arial"/>
          <w:szCs w:val="22"/>
          <w:lang w:eastAsia="en-GB"/>
        </w:rPr>
      </w:pPr>
    </w:p>
    <w:p w14:paraId="466FFDD7" w14:textId="29B3E19A" w:rsidR="00E56F91" w:rsidRDefault="00E56F91" w:rsidP="0052385B">
      <w:pPr>
        <w:spacing w:before="0" w:after="0" w:line="240" w:lineRule="auto"/>
        <w:rPr>
          <w:rFonts w:eastAsia="Times New Roman" w:cs="Arial"/>
          <w:b/>
          <w:bCs/>
          <w:szCs w:val="22"/>
        </w:rPr>
      </w:pPr>
      <w:r>
        <w:rPr>
          <w:b/>
        </w:rPr>
        <w:t xml:space="preserve">Paratoi a chynefino </w:t>
      </w:r>
    </w:p>
    <w:p w14:paraId="522F9EAC" w14:textId="77777777" w:rsidR="00513CCD" w:rsidRPr="00F717A9" w:rsidRDefault="00513CCD" w:rsidP="0052385B">
      <w:pPr>
        <w:spacing w:before="0" w:after="0" w:line="240" w:lineRule="auto"/>
        <w:rPr>
          <w:rFonts w:eastAsia="Times New Roman" w:cs="Arial"/>
          <w:b/>
          <w:bCs/>
          <w:szCs w:val="22"/>
          <w:lang w:eastAsia="en-GB"/>
        </w:rPr>
      </w:pPr>
    </w:p>
    <w:p w14:paraId="5169FCE4" w14:textId="1B4EEF36" w:rsidR="00E56F91" w:rsidRPr="00513CCD" w:rsidRDefault="00E56F91" w:rsidP="0052385B">
      <w:pPr>
        <w:spacing w:before="0" w:after="0" w:line="240" w:lineRule="auto"/>
        <w:rPr>
          <w:rFonts w:eastAsia="Times New Roman" w:cs="Arial"/>
          <w:color w:val="FF0000"/>
          <w:szCs w:val="22"/>
        </w:rPr>
      </w:pPr>
      <w:r>
        <w:rPr>
          <w:color w:val="FF0000"/>
        </w:rPr>
        <w:t xml:space="preserve">Bydd pob aelod o staff sy’n gorfod gweithio ar y contract hwn yn cael copïau o asesiadau risg a datganiadau dull; bydd unrhyw ymholiadau neu bryderon yn cael eu codi gyda rheolwr y contract, a fydd yn sicrhau bod y mater yn cael sylw. Bydd y prif gontractiwr neu reolwr y contract yn rhoi sesiwn gynefino i’r staff ar bob safle, a bydd y staff yn dilyn holl reolau a gweithdrefnau diogelwch y safle. </w:t>
      </w:r>
    </w:p>
    <w:p w14:paraId="280359BF" w14:textId="77777777" w:rsidR="006315F7" w:rsidRPr="00513CCD" w:rsidRDefault="006315F7" w:rsidP="0052385B">
      <w:pPr>
        <w:spacing w:before="0" w:after="0" w:line="240" w:lineRule="auto"/>
        <w:rPr>
          <w:rFonts w:eastAsia="Times New Roman" w:cs="Arial"/>
          <w:color w:val="FF0000"/>
          <w:szCs w:val="22"/>
          <w:lang w:eastAsia="en-GB"/>
        </w:rPr>
      </w:pPr>
    </w:p>
    <w:p w14:paraId="6A17A439" w14:textId="07E70700" w:rsidR="00E56F91" w:rsidRDefault="00E56F91" w:rsidP="0052385B">
      <w:pPr>
        <w:spacing w:before="0" w:after="0" w:line="240" w:lineRule="auto"/>
        <w:rPr>
          <w:rFonts w:eastAsia="Times New Roman" w:cs="Arial"/>
          <w:b/>
          <w:bCs/>
          <w:szCs w:val="22"/>
        </w:rPr>
      </w:pPr>
      <w:r>
        <w:rPr>
          <w:b/>
        </w:rPr>
        <w:t xml:space="preserve">Lles </w:t>
      </w:r>
    </w:p>
    <w:p w14:paraId="45044EA9" w14:textId="77777777" w:rsidR="00513CCD" w:rsidRPr="00F717A9" w:rsidRDefault="00513CCD" w:rsidP="0052385B">
      <w:pPr>
        <w:spacing w:before="0" w:after="0" w:line="240" w:lineRule="auto"/>
        <w:rPr>
          <w:rFonts w:eastAsia="Times New Roman" w:cs="Arial"/>
          <w:b/>
          <w:bCs/>
          <w:szCs w:val="22"/>
          <w:lang w:eastAsia="en-GB"/>
        </w:rPr>
      </w:pPr>
    </w:p>
    <w:p w14:paraId="2804000A" w14:textId="2396AFCF" w:rsidR="00E56F91" w:rsidRPr="00513CCD" w:rsidRDefault="00E56F91" w:rsidP="0052385B">
      <w:pPr>
        <w:spacing w:before="0" w:after="0" w:line="240" w:lineRule="auto"/>
        <w:rPr>
          <w:rFonts w:eastAsia="Times New Roman" w:cs="Arial"/>
          <w:color w:val="FF0000"/>
          <w:szCs w:val="22"/>
        </w:rPr>
      </w:pPr>
      <w:r>
        <w:rPr>
          <w:color w:val="FF0000"/>
        </w:rPr>
        <w:t xml:space="preserve">Y prif gontractiwr sy’n gyfrifol am ddarparu cyfleusterau ymolchi, toiled, sychu a bwyd a diod priodol ar gyfer staff ac is-gontractwyr, a staff a chontractwyr sy’n gyfrifol am sicrhau bod y cyfleusterau lles hynny yn cael eu cadw’n lân ac yn dwt. </w:t>
      </w:r>
    </w:p>
    <w:p w14:paraId="66E34D3F" w14:textId="77777777" w:rsidR="006315F7" w:rsidRPr="00F717A9" w:rsidRDefault="006315F7" w:rsidP="0052385B">
      <w:pPr>
        <w:spacing w:before="0" w:after="0" w:line="240" w:lineRule="auto"/>
        <w:rPr>
          <w:rFonts w:eastAsia="Times New Roman" w:cs="Arial"/>
          <w:szCs w:val="22"/>
          <w:lang w:eastAsia="en-GB"/>
        </w:rPr>
      </w:pPr>
    </w:p>
    <w:p w14:paraId="3C825799" w14:textId="1403F28D" w:rsidR="00E56F91" w:rsidRDefault="00E56F91" w:rsidP="0052385B">
      <w:pPr>
        <w:spacing w:before="0" w:after="0" w:line="240" w:lineRule="auto"/>
        <w:rPr>
          <w:rFonts w:eastAsia="Times New Roman" w:cs="Arial"/>
          <w:b/>
          <w:bCs/>
          <w:szCs w:val="22"/>
        </w:rPr>
      </w:pPr>
      <w:r>
        <w:rPr>
          <w:b/>
        </w:rPr>
        <w:t xml:space="preserve">Cymorth cyntaf </w:t>
      </w:r>
    </w:p>
    <w:p w14:paraId="32B9050C" w14:textId="77777777" w:rsidR="00513CCD" w:rsidRPr="00F717A9" w:rsidRDefault="00513CCD" w:rsidP="0052385B">
      <w:pPr>
        <w:spacing w:before="0" w:after="0" w:line="240" w:lineRule="auto"/>
        <w:rPr>
          <w:rFonts w:eastAsia="Times New Roman" w:cs="Arial"/>
          <w:b/>
          <w:bCs/>
          <w:szCs w:val="22"/>
          <w:lang w:eastAsia="en-GB"/>
        </w:rPr>
      </w:pPr>
    </w:p>
    <w:p w14:paraId="6F676BDC" w14:textId="4F0BEA0D" w:rsidR="00E56F91" w:rsidRPr="00513CCD" w:rsidRDefault="00E56F91" w:rsidP="0052385B">
      <w:pPr>
        <w:spacing w:before="0" w:after="0" w:line="240" w:lineRule="auto"/>
        <w:rPr>
          <w:rFonts w:eastAsia="Times New Roman" w:cs="Arial"/>
          <w:color w:val="FF0000"/>
          <w:szCs w:val="22"/>
        </w:rPr>
      </w:pPr>
      <w:r>
        <w:rPr>
          <w:color w:val="FF0000"/>
        </w:rPr>
        <w:t xml:space="preserve">Mae gan bob is-gontractiwr gyfrifoldeb i sicrhau bod darpariaeth cymorth cyntaf briodol ar gael i’w staff. Mae priodol yn golygu darparu cyfarpar cymorth cyntaf addas, a pherson penodedig o leiaf. </w:t>
      </w:r>
    </w:p>
    <w:p w14:paraId="50036069" w14:textId="77777777" w:rsidR="006315F7" w:rsidRPr="00F717A9" w:rsidRDefault="006315F7" w:rsidP="0052385B">
      <w:pPr>
        <w:spacing w:before="0" w:after="0" w:line="240" w:lineRule="auto"/>
        <w:rPr>
          <w:rFonts w:eastAsia="Times New Roman" w:cs="Arial"/>
          <w:szCs w:val="22"/>
          <w:lang w:eastAsia="en-GB"/>
        </w:rPr>
      </w:pPr>
    </w:p>
    <w:p w14:paraId="6DA1CA9C" w14:textId="347FCC8F" w:rsidR="00E56F91" w:rsidRDefault="00E56F91" w:rsidP="0052385B">
      <w:pPr>
        <w:spacing w:before="0" w:after="0" w:line="240" w:lineRule="auto"/>
        <w:rPr>
          <w:rFonts w:eastAsia="Times New Roman" w:cs="Arial"/>
          <w:b/>
          <w:bCs/>
          <w:szCs w:val="22"/>
        </w:rPr>
      </w:pPr>
      <w:r>
        <w:rPr>
          <w:b/>
        </w:rPr>
        <w:t xml:space="preserve">Mynedfeydd ac allanfeydd y safle </w:t>
      </w:r>
    </w:p>
    <w:p w14:paraId="41E41E01" w14:textId="77777777" w:rsidR="00513CCD" w:rsidRPr="00F717A9" w:rsidRDefault="00513CCD" w:rsidP="0052385B">
      <w:pPr>
        <w:spacing w:before="0" w:after="0" w:line="240" w:lineRule="auto"/>
        <w:rPr>
          <w:rFonts w:eastAsia="Times New Roman" w:cs="Arial"/>
          <w:b/>
          <w:bCs/>
          <w:szCs w:val="22"/>
          <w:lang w:eastAsia="en-GB"/>
        </w:rPr>
      </w:pPr>
    </w:p>
    <w:p w14:paraId="72E6ADE4" w14:textId="2C96723D" w:rsidR="00E56F91" w:rsidRPr="00513CCD" w:rsidRDefault="00E56F91" w:rsidP="0052385B">
      <w:pPr>
        <w:spacing w:before="0" w:after="0" w:line="240" w:lineRule="auto"/>
        <w:rPr>
          <w:rFonts w:eastAsia="Times New Roman" w:cs="Arial"/>
          <w:color w:val="FF0000"/>
          <w:szCs w:val="22"/>
        </w:rPr>
      </w:pPr>
      <w:r>
        <w:rPr>
          <w:color w:val="FF0000"/>
        </w:rPr>
        <w:t xml:space="preserve">Y prif gontractiwr sy'n gyfrifol am ddarparu mynedfeydd ac allanfeydd diogel i’r safle. Bydd y contractiwr yn sicrhau bod y mynedfeydd a’r allanfeydd yn ddiogel ar gyfer y contractiwr ei hun ac ar gyfer contractwyr eraill yn ardal y gwaith, a bydd safonau da o ran cynnal a chadw yn cael eu cynnal. </w:t>
      </w:r>
    </w:p>
    <w:p w14:paraId="22A95CB0" w14:textId="77777777" w:rsidR="006315F7" w:rsidRPr="00513CCD" w:rsidRDefault="006315F7" w:rsidP="0052385B">
      <w:pPr>
        <w:spacing w:before="0" w:after="0" w:line="240" w:lineRule="auto"/>
        <w:rPr>
          <w:rFonts w:eastAsia="Times New Roman" w:cs="Arial"/>
          <w:color w:val="FF0000"/>
          <w:szCs w:val="22"/>
          <w:lang w:eastAsia="en-GB"/>
        </w:rPr>
      </w:pPr>
    </w:p>
    <w:p w14:paraId="16AA0156" w14:textId="5019B0B7" w:rsidR="00E56F91" w:rsidRDefault="00E56F91" w:rsidP="0052385B">
      <w:pPr>
        <w:spacing w:before="0" w:after="0" w:line="240" w:lineRule="auto"/>
        <w:rPr>
          <w:rFonts w:eastAsia="Times New Roman" w:cs="Arial"/>
          <w:b/>
          <w:bCs/>
          <w:szCs w:val="22"/>
        </w:rPr>
      </w:pPr>
      <w:r>
        <w:rPr>
          <w:b/>
        </w:rPr>
        <w:t xml:space="preserve">Trin deunyddiau </w:t>
      </w:r>
    </w:p>
    <w:p w14:paraId="62E74364" w14:textId="77777777" w:rsidR="00513CCD" w:rsidRPr="00F717A9" w:rsidRDefault="00513CCD" w:rsidP="0052385B">
      <w:pPr>
        <w:spacing w:before="0" w:after="0" w:line="240" w:lineRule="auto"/>
        <w:rPr>
          <w:rFonts w:eastAsia="Times New Roman" w:cs="Arial"/>
          <w:b/>
          <w:bCs/>
          <w:szCs w:val="22"/>
          <w:lang w:eastAsia="en-GB"/>
        </w:rPr>
      </w:pPr>
    </w:p>
    <w:p w14:paraId="1301FD50" w14:textId="77777777" w:rsidR="00E56F91" w:rsidRPr="00513CCD" w:rsidRDefault="00E56F91" w:rsidP="0052385B">
      <w:pPr>
        <w:spacing w:before="0" w:after="0" w:line="240" w:lineRule="auto"/>
        <w:rPr>
          <w:rFonts w:eastAsia="Times New Roman" w:cs="Arial"/>
          <w:color w:val="FF0000"/>
          <w:szCs w:val="22"/>
        </w:rPr>
      </w:pPr>
      <w:r>
        <w:rPr>
          <w:color w:val="FF0000"/>
        </w:rPr>
        <w:t xml:space="preserve">Bydd yr holl ddeunyddiau sydd eu hangen ar gyfer y safle yn cael eu dadlwytho mewn man dadlwytho a storio dynodedig, a fydd ymhell oddi wrth yr ardal waith i'r graddau y mae hynny’n ymarferol. Bydd yr ardal hon yn cael ei chadw’n daclus er mwyn lleihau peryglon baglu. Bydd deunyddiau yn cael eu casglu o’r man storio yn ôl yr angen a’u cludo i’r ardal waith. Bydd yr holl staff yn cymryd gofal wrth drin deunyddiau. </w:t>
      </w:r>
    </w:p>
    <w:p w14:paraId="4CFE1287" w14:textId="12C2092E" w:rsidR="00681BD0" w:rsidRPr="00513CCD" w:rsidRDefault="00E56F91" w:rsidP="0052385B">
      <w:pPr>
        <w:spacing w:before="0" w:after="0" w:line="240" w:lineRule="auto"/>
        <w:rPr>
          <w:rFonts w:eastAsia="Times New Roman" w:cs="Arial"/>
          <w:color w:val="FF0000"/>
          <w:szCs w:val="22"/>
        </w:rPr>
      </w:pPr>
      <w:r>
        <w:rPr>
          <w:color w:val="FF0000"/>
        </w:rPr>
        <w:t xml:space="preserve">Mae’r holl staff a chontractwyr wedi cael gwybod am beryglon posibl codi a chario, ac wedi cael hyfforddiant codi a chario. Ni fydd staff na chontractwyr yn codi offer na chyfarpar sydd y tu hwnt i’w gallu. Bydd eitemau trwm neu letchwith yn cael eu rhannu’n unedau llai, neu’n cael eu codi ar y cyd pan nad yw hynny’n bosibl. Cyfrifoldeb fforman y safle yw dynodi a rheoli sefyllfaoedd codi a chario a allai fod yn beryglus wrth iddyn nhw ddigwydd ar y safle o ddydd i ddydd. </w:t>
      </w:r>
    </w:p>
    <w:p w14:paraId="2B16BF63" w14:textId="77777777" w:rsidR="006315F7" w:rsidRPr="00F717A9" w:rsidRDefault="006315F7" w:rsidP="0052385B">
      <w:pPr>
        <w:spacing w:before="0" w:after="0" w:line="240" w:lineRule="auto"/>
        <w:rPr>
          <w:rFonts w:eastAsia="Times New Roman" w:cs="Arial"/>
          <w:szCs w:val="22"/>
          <w:lang w:eastAsia="en-GB"/>
        </w:rPr>
      </w:pPr>
    </w:p>
    <w:p w14:paraId="77572A5F" w14:textId="01B447DD" w:rsidR="00E56F91" w:rsidRDefault="00E56F91" w:rsidP="0052385B">
      <w:pPr>
        <w:spacing w:before="0" w:after="0" w:line="240" w:lineRule="auto"/>
        <w:rPr>
          <w:rFonts w:eastAsia="Times New Roman" w:cs="Arial"/>
          <w:b/>
          <w:bCs/>
          <w:szCs w:val="22"/>
        </w:rPr>
      </w:pPr>
      <w:r>
        <w:rPr>
          <w:b/>
        </w:rPr>
        <w:t xml:space="preserve">Diogelwch contractwyr/ymwelwyr </w:t>
      </w:r>
    </w:p>
    <w:p w14:paraId="7A8533AE" w14:textId="77777777" w:rsidR="00513CCD" w:rsidRPr="00F717A9" w:rsidRDefault="00513CCD" w:rsidP="0052385B">
      <w:pPr>
        <w:spacing w:before="0" w:after="0" w:line="240" w:lineRule="auto"/>
        <w:rPr>
          <w:rFonts w:eastAsia="Times New Roman" w:cs="Arial"/>
          <w:szCs w:val="22"/>
          <w:lang w:eastAsia="en-GB"/>
        </w:rPr>
      </w:pPr>
    </w:p>
    <w:p w14:paraId="660168FC" w14:textId="22B8F4FC" w:rsidR="00E56F91" w:rsidRPr="00513CCD" w:rsidRDefault="00E56F91" w:rsidP="0052385B">
      <w:pPr>
        <w:spacing w:before="0" w:after="0" w:line="240" w:lineRule="auto"/>
        <w:rPr>
          <w:rFonts w:eastAsia="Times New Roman" w:cs="Arial"/>
          <w:color w:val="FF0000"/>
          <w:szCs w:val="22"/>
        </w:rPr>
      </w:pPr>
      <w:r>
        <w:rPr>
          <w:color w:val="FF0000"/>
        </w:rPr>
        <w:t xml:space="preserve">Ni fydd staff na chontractwyr yn gadael unrhyw ardal waith mewn cyflwr peryglus neu sy’n achosi risgiau iddyn nhw eu hunain, i gontractwyr eraill, i denantiaid neu i ymwelwyr. Bydd yr holl offer a chyfarpar yn cael eu clirio i’w storio’n ddiogel ar ddiwedd pob shifft. Ni fydd modd defnyddio sgaffaldiau nac ysgolion, nac unrhyw eitem arall i gyrraedd man uchel. </w:t>
      </w:r>
    </w:p>
    <w:p w14:paraId="2C9B2DFB" w14:textId="77777777" w:rsidR="006315F7" w:rsidRPr="00F717A9" w:rsidRDefault="006315F7" w:rsidP="0052385B">
      <w:pPr>
        <w:spacing w:before="0" w:after="0" w:line="240" w:lineRule="auto"/>
        <w:rPr>
          <w:rFonts w:eastAsia="Times New Roman" w:cs="Arial"/>
          <w:szCs w:val="22"/>
          <w:lang w:eastAsia="en-GB"/>
        </w:rPr>
      </w:pPr>
    </w:p>
    <w:p w14:paraId="7FF7B4EC" w14:textId="631CA44D" w:rsidR="00E56F91" w:rsidRDefault="00E56F91" w:rsidP="0052385B">
      <w:pPr>
        <w:spacing w:before="0" w:after="0" w:line="240" w:lineRule="auto"/>
        <w:rPr>
          <w:rFonts w:eastAsia="Times New Roman" w:cs="Arial"/>
          <w:b/>
          <w:bCs/>
          <w:szCs w:val="22"/>
        </w:rPr>
      </w:pPr>
      <w:r>
        <w:rPr>
          <w:b/>
        </w:rPr>
        <w:t xml:space="preserve">Sment Portland </w:t>
      </w:r>
    </w:p>
    <w:p w14:paraId="5CD8152F" w14:textId="77777777" w:rsidR="00513CCD" w:rsidRPr="00F717A9" w:rsidRDefault="00513CCD" w:rsidP="0052385B">
      <w:pPr>
        <w:spacing w:before="0" w:after="0" w:line="240" w:lineRule="auto"/>
        <w:rPr>
          <w:rFonts w:eastAsia="Times New Roman" w:cs="Arial"/>
          <w:b/>
          <w:bCs/>
          <w:szCs w:val="22"/>
          <w:lang w:eastAsia="en-GB"/>
        </w:rPr>
      </w:pPr>
    </w:p>
    <w:p w14:paraId="5CE4AE3B" w14:textId="3F24BED0" w:rsidR="00E56F91" w:rsidRPr="00513CCD" w:rsidRDefault="00E56F91" w:rsidP="0052385B">
      <w:pPr>
        <w:spacing w:before="0" w:after="0" w:line="240" w:lineRule="auto"/>
        <w:rPr>
          <w:rFonts w:eastAsia="Times New Roman" w:cs="Arial"/>
          <w:color w:val="FF0000"/>
          <w:szCs w:val="22"/>
        </w:rPr>
      </w:pPr>
      <w:r>
        <w:rPr>
          <w:color w:val="FF0000"/>
        </w:rPr>
        <w:t xml:space="preserve">Mae sment Portland yn bowdr llwyd golau nad yw’n achosi llawer iawn o berygl ar y pryd. Nid yw dod i gysylltiad unwaith â’r powdr sych am gyfnod byr yn debygol o achosi niwed difrifol. Ond, mae dod i gysylltiad am ddigon o amser â sment Portland gwlyb yn gallu dinistrio meinweoedd (y croen neu'r llygad) ar ffurf llosgiadau cemegol (costig), ac mae’n bosibl na fydd modd dadwneud hynny. Gall meinweoedd gael eu dinistrio yn yr un modd os bydd rhannau gwlyb neu laith o’r corff yn dod i gysylltiad am ddigon o amser â sment Portland sych. </w:t>
      </w:r>
    </w:p>
    <w:p w14:paraId="0B9CFA23" w14:textId="30F6A911" w:rsidR="0020209A" w:rsidRPr="00513CCD" w:rsidRDefault="00E56F91" w:rsidP="0052385B">
      <w:pPr>
        <w:spacing w:before="0" w:after="0" w:line="240" w:lineRule="auto"/>
        <w:rPr>
          <w:rFonts w:eastAsia="Times New Roman" w:cs="Arial"/>
          <w:color w:val="FF0000"/>
          <w:szCs w:val="22"/>
        </w:rPr>
      </w:pPr>
      <w:r>
        <w:rPr>
          <w:color w:val="FF0000"/>
        </w:rPr>
        <w:lastRenderedPageBreak/>
        <w:t>Rhaid i bawb sy’n dod i gysylltiad â sment Portland sicrhau eu bod yn cael eu gwarchod yn ddigonol rhag effeithiau costig sment. Bydd staff yn gwisgo esgidiau sydd â blaen dur, oferôls a menig anhreiddiadwy; rhaid defnyddio cyfarpar diogelu’r llygaid wrth weithio gyda choncrid, ei gymysgu a’i osod.</w:t>
      </w:r>
    </w:p>
    <w:p w14:paraId="3BA103CC" w14:textId="308F1D4E" w:rsidR="00E56F91" w:rsidRPr="00F717A9" w:rsidRDefault="00E56F91" w:rsidP="0052385B">
      <w:pPr>
        <w:spacing w:before="0" w:after="0" w:line="240" w:lineRule="auto"/>
        <w:rPr>
          <w:rFonts w:eastAsia="Times New Roman" w:cs="Arial"/>
          <w:szCs w:val="22"/>
          <w:lang w:eastAsia="en-GB"/>
        </w:rPr>
      </w:pPr>
    </w:p>
    <w:p w14:paraId="7D5CD453" w14:textId="58E090AA" w:rsidR="00513CCD" w:rsidRDefault="00E56F91" w:rsidP="0052385B">
      <w:pPr>
        <w:spacing w:before="0" w:after="0" w:line="240" w:lineRule="auto"/>
        <w:rPr>
          <w:rFonts w:eastAsia="Times New Roman" w:cs="Arial"/>
          <w:b/>
          <w:bCs/>
          <w:szCs w:val="22"/>
        </w:rPr>
      </w:pPr>
      <w:r>
        <w:rPr>
          <w:b/>
        </w:rPr>
        <w:t>Diogelwch gyda pheiriannau</w:t>
      </w:r>
    </w:p>
    <w:p w14:paraId="2B1B9010" w14:textId="48A6BEE2" w:rsidR="00E56F91" w:rsidRPr="00513CCD" w:rsidRDefault="00E56F91" w:rsidP="0052385B">
      <w:pPr>
        <w:spacing w:before="0" w:after="0" w:line="240" w:lineRule="auto"/>
        <w:rPr>
          <w:rFonts w:eastAsia="Times New Roman" w:cs="Arial"/>
          <w:color w:val="FF0000"/>
          <w:szCs w:val="22"/>
        </w:rPr>
      </w:pPr>
      <w:r>
        <w:br/>
      </w:r>
      <w:r>
        <w:rPr>
          <w:color w:val="FF0000"/>
        </w:rPr>
        <w:t xml:space="preserve">Peryglon penodol wrth weithio gyda pheiriannau trwm: </w:t>
      </w:r>
    </w:p>
    <w:p w14:paraId="5B727F51" w14:textId="24477C85" w:rsidR="00E56F91" w:rsidRPr="00513CCD" w:rsidRDefault="00E56F91" w:rsidP="0052385B">
      <w:pPr>
        <w:spacing w:before="0" w:after="0" w:line="240" w:lineRule="auto"/>
        <w:rPr>
          <w:rFonts w:eastAsia="Times New Roman" w:cs="Arial"/>
          <w:color w:val="FF0000"/>
          <w:szCs w:val="22"/>
        </w:rPr>
      </w:pPr>
      <w:r>
        <w:rPr>
          <w:color w:val="FF0000"/>
        </w:rPr>
        <w:t xml:space="preserve">Gweithwyr ar droed yn cael eu taro gan gyfarpar, fel arfer pan fydd y cyfarpar yn bacio neu’n newid cyfeiriad. </w:t>
      </w:r>
    </w:p>
    <w:p w14:paraId="528B2788" w14:textId="4FE14DF1" w:rsidR="00E56F91" w:rsidRPr="00513CCD" w:rsidRDefault="00E56F91" w:rsidP="0052385B">
      <w:pPr>
        <w:spacing w:before="0" w:after="0" w:line="240" w:lineRule="auto"/>
        <w:rPr>
          <w:rFonts w:eastAsia="Times New Roman" w:cs="Arial"/>
          <w:color w:val="FF0000"/>
          <w:szCs w:val="22"/>
        </w:rPr>
      </w:pPr>
      <w:r>
        <w:rPr>
          <w:color w:val="FF0000"/>
        </w:rPr>
        <w:t xml:space="preserve">Cyfarpar yn rholio drosodd ac yn lladd y gweithredwr pan fydd ar lethr, neu pan fydd cyfarpar yn cael ei lwytho neu ei ddadlwytho oddi ar loris. </w:t>
      </w:r>
    </w:p>
    <w:p w14:paraId="3F7875D5" w14:textId="360A0BEF" w:rsidR="00E56F91" w:rsidRPr="00513CCD" w:rsidRDefault="00E56F91" w:rsidP="0052385B">
      <w:pPr>
        <w:spacing w:before="0" w:after="0" w:line="240" w:lineRule="auto"/>
        <w:rPr>
          <w:rFonts w:eastAsia="Times New Roman" w:cs="Arial"/>
          <w:color w:val="FF0000"/>
          <w:szCs w:val="22"/>
        </w:rPr>
      </w:pPr>
      <w:r>
        <w:rPr>
          <w:color w:val="FF0000"/>
        </w:rPr>
        <w:t xml:space="preserve">Cyfarpar yn dal neu’n rhedeg dros weithredwyr neu fecanics pan nad yw’r brêcs wedi’u gosod yn eu lle, pan fydd y cyfarpar yn cael ei adael mewn gêr, pan nad yw plociau olwynion yn cael eu defnyddio, neu pan nad yw’r cyfarpar a’r offer llywio wedi’u cloi. </w:t>
      </w:r>
    </w:p>
    <w:p w14:paraId="0B4D35AA" w14:textId="7C5BC34F" w:rsidR="00E56F91" w:rsidRPr="00513CCD" w:rsidRDefault="00E56F91" w:rsidP="0052385B">
      <w:pPr>
        <w:spacing w:before="0" w:after="0" w:line="240" w:lineRule="auto"/>
        <w:rPr>
          <w:rFonts w:eastAsia="Times New Roman" w:cs="Arial"/>
          <w:color w:val="FF0000"/>
          <w:szCs w:val="22"/>
        </w:rPr>
      </w:pPr>
      <w:r>
        <w:rPr>
          <w:color w:val="FF0000"/>
        </w:rPr>
        <w:t xml:space="preserve">Gweithwyr ar droed neu mewn ffos yn cael eu gwasgu gan lwythi cyfarpar sy’n syrthio, bwcedi jac codi baw (backhoe), neu ddarnau eraill sy’n symud. </w:t>
      </w:r>
    </w:p>
    <w:p w14:paraId="3FA1DACC" w14:textId="7A18D432" w:rsidR="00484E14" w:rsidRPr="00F717A9" w:rsidRDefault="00484E14" w:rsidP="0052385B">
      <w:pPr>
        <w:spacing w:before="100" w:beforeAutospacing="1" w:after="100" w:afterAutospacing="1" w:line="240" w:lineRule="auto"/>
        <w:ind w:left="720"/>
        <w:rPr>
          <w:rFonts w:eastAsia="Times New Roman" w:cs="Arial"/>
          <w:szCs w:val="22"/>
          <w:lang w:eastAsia="en-GB"/>
        </w:rPr>
      </w:pPr>
    </w:p>
    <w:sectPr w:rsidR="00484E14" w:rsidRPr="00F717A9"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9B5A9" w14:textId="77777777" w:rsidR="00042E2A" w:rsidRDefault="00042E2A">
      <w:pPr>
        <w:spacing w:before="0" w:after="0"/>
      </w:pPr>
      <w:r>
        <w:separator/>
      </w:r>
    </w:p>
  </w:endnote>
  <w:endnote w:type="continuationSeparator" w:id="0">
    <w:p w14:paraId="71D550D9" w14:textId="77777777" w:rsidR="00042E2A" w:rsidRDefault="00042E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DF1B" w14:textId="191A6401" w:rsidR="00110217" w:rsidRPr="00F03E33" w:rsidRDefault="00513CCD" w:rsidP="00F03E33">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rsidR="00F03E33">
      <w:fldChar w:fldCharType="begin"/>
    </w:r>
    <w:r w:rsidR="00F03E33">
      <w:instrText xml:space="preserve"> PAGE   \* MERGEFORMAT </w:instrText>
    </w:r>
    <w:r w:rsidR="00F03E33">
      <w:fldChar w:fldCharType="separate"/>
    </w:r>
    <w:r w:rsidR="000453CB">
      <w:rPr>
        <w:noProof/>
      </w:rPr>
      <w:t>1</w:t>
    </w:r>
    <w:r w:rsidR="00F03E33">
      <w:rPr>
        <w:rFonts w:cs="Arial"/>
      </w:rPr>
      <w:fldChar w:fldCharType="end"/>
    </w:r>
    <w:r>
      <w:t xml:space="preserve"> o </w:t>
    </w:r>
    <w:fldSimple w:instr="NUMPAGES   \* MERGEFORMAT">
      <w:r w:rsidR="000453C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ABF8" w14:textId="77777777" w:rsidR="00042E2A" w:rsidRDefault="00042E2A">
      <w:pPr>
        <w:spacing w:before="0" w:after="0"/>
      </w:pPr>
      <w:r>
        <w:separator/>
      </w:r>
    </w:p>
  </w:footnote>
  <w:footnote w:type="continuationSeparator" w:id="0">
    <w:p w14:paraId="4A2198F3" w14:textId="77777777" w:rsidR="00042E2A" w:rsidRDefault="00042E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54FB" w14:textId="77777777" w:rsidR="00CF3D32" w:rsidRDefault="00F03E33" w:rsidP="00F03E33">
    <w:pPr>
      <w:tabs>
        <w:tab w:val="left" w:pos="12572"/>
      </w:tabs>
      <w:spacing w:before="0" w:after="0" w:line="360" w:lineRule="exact"/>
      <w:rPr>
        <w:sz w:val="28"/>
      </w:rPr>
    </w:pPr>
    <w:r>
      <w:rPr>
        <w:noProof/>
        <w:sz w:val="28"/>
        <w:szCs w:val="22"/>
        <w:lang w:eastAsia="cy-GB"/>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Cymhwyster Sylfaen mewn</w:t>
    </w:r>
  </w:p>
  <w:p w14:paraId="45A3E172" w14:textId="75705B1E" w:rsidR="00F717A9" w:rsidRPr="00D42CEB" w:rsidRDefault="00F03E33" w:rsidP="00F03E33">
    <w:pPr>
      <w:tabs>
        <w:tab w:val="left" w:pos="12572"/>
      </w:tabs>
      <w:spacing w:before="0" w:after="0" w:line="360" w:lineRule="exact"/>
      <w:rPr>
        <w:b/>
        <w:bCs/>
        <w:sz w:val="28"/>
        <w:szCs w:val="28"/>
      </w:rPr>
    </w:pPr>
    <w:r>
      <w:rPr>
        <w:b/>
        <w:sz w:val="28"/>
      </w:rPr>
      <w:t>Adeiladu</w:t>
    </w:r>
    <w:r w:rsidR="00CF3D32">
      <w:rPr>
        <w:b/>
        <w:sz w:val="28"/>
      </w:rPr>
      <w:t xml:space="preserve"> </w:t>
    </w:r>
    <w:r>
      <w:rPr>
        <w:b/>
        <w:sz w:val="28"/>
      </w:rPr>
      <w:t>a Pheirianneg</w:t>
    </w:r>
    <w:r w:rsidR="0052385B">
      <w:rPr>
        <w:b/>
        <w:bCs/>
        <w:sz w:val="28"/>
        <w:szCs w:val="28"/>
      </w:rPr>
      <w:t xml:space="preserve"> </w:t>
    </w:r>
    <w:r w:rsidR="00F717A9">
      <w:rPr>
        <w:b/>
        <w:sz w:val="28"/>
      </w:rPr>
      <w:t>Gwasanaethau Adeiladu</w:t>
    </w:r>
  </w:p>
  <w:p w14:paraId="7C7EE0C3" w14:textId="0A754F9F"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lang w:eastAsia="cy-GB"/>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Pr>
        <w:color w:val="0077E3"/>
        <w:sz w:val="24"/>
      </w:rPr>
      <w:t>Uned 105 Taflen waith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8D662A4"/>
    <w:lvl w:ilvl="0">
      <w:start w:val="1"/>
      <w:numFmt w:val="decimal"/>
      <w:lvlText w:val="%1."/>
      <w:lvlJc w:val="left"/>
      <w:pPr>
        <w:tabs>
          <w:tab w:val="num" w:pos="360"/>
        </w:tabs>
        <w:ind w:left="360" w:hanging="360"/>
      </w:pPr>
    </w:lvl>
  </w:abstractNum>
  <w:abstractNum w:abstractNumId="1" w15:restartNumberingAfterBreak="0">
    <w:nsid w:val="078107E0"/>
    <w:multiLevelType w:val="hybridMultilevel"/>
    <w:tmpl w:val="FA3205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DA46D3"/>
    <w:multiLevelType w:val="multilevel"/>
    <w:tmpl w:val="B426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260F6"/>
    <w:multiLevelType w:val="hybridMultilevel"/>
    <w:tmpl w:val="36781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D22527"/>
    <w:multiLevelType w:val="multilevel"/>
    <w:tmpl w:val="16CA9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E37ED4"/>
    <w:multiLevelType w:val="multilevel"/>
    <w:tmpl w:val="B0CE5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B75969"/>
    <w:multiLevelType w:val="hybridMultilevel"/>
    <w:tmpl w:val="94D672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06370E"/>
    <w:multiLevelType w:val="multilevel"/>
    <w:tmpl w:val="C0D2B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F9093E"/>
    <w:multiLevelType w:val="multilevel"/>
    <w:tmpl w:val="7CE2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DAD23C9"/>
    <w:multiLevelType w:val="hybridMultilevel"/>
    <w:tmpl w:val="185E3C0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5"/>
  </w:num>
  <w:num w:numId="3">
    <w:abstractNumId w:val="9"/>
  </w:num>
  <w:num w:numId="4">
    <w:abstractNumId w:val="13"/>
  </w:num>
  <w:num w:numId="5">
    <w:abstractNumId w:val="12"/>
  </w:num>
  <w:num w:numId="6">
    <w:abstractNumId w:val="1"/>
  </w:num>
  <w:num w:numId="7">
    <w:abstractNumId w:val="10"/>
  </w:num>
  <w:num w:numId="8">
    <w:abstractNumId w:val="6"/>
  </w:num>
  <w:num w:numId="9">
    <w:abstractNumId w:val="7"/>
  </w:num>
  <w:num w:numId="10">
    <w:abstractNumId w:val="11"/>
  </w:num>
  <w:num w:numId="11">
    <w:abstractNumId w:val="2"/>
  </w:num>
  <w:num w:numId="12">
    <w:abstractNumId w:val="4"/>
  </w:num>
  <w:num w:numId="13">
    <w:abstractNumId w:val="0"/>
  </w:num>
  <w:num w:numId="14">
    <w:abstractNumId w:val="14"/>
  </w:num>
  <w:num w:numId="1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3BC4"/>
    <w:rsid w:val="00042E2A"/>
    <w:rsid w:val="000453CB"/>
    <w:rsid w:val="00081C83"/>
    <w:rsid w:val="00082C62"/>
    <w:rsid w:val="000B231F"/>
    <w:rsid w:val="000C1B90"/>
    <w:rsid w:val="000C5EDC"/>
    <w:rsid w:val="000E194B"/>
    <w:rsid w:val="000F25FB"/>
    <w:rsid w:val="0010738A"/>
    <w:rsid w:val="00110217"/>
    <w:rsid w:val="001259FF"/>
    <w:rsid w:val="0014141E"/>
    <w:rsid w:val="00152AC3"/>
    <w:rsid w:val="00156AF3"/>
    <w:rsid w:val="0016786D"/>
    <w:rsid w:val="00194659"/>
    <w:rsid w:val="0019491D"/>
    <w:rsid w:val="001A7C61"/>
    <w:rsid w:val="001C1D69"/>
    <w:rsid w:val="001D2A06"/>
    <w:rsid w:val="001F74AD"/>
    <w:rsid w:val="0020096C"/>
    <w:rsid w:val="0020209A"/>
    <w:rsid w:val="00243CCB"/>
    <w:rsid w:val="002C4032"/>
    <w:rsid w:val="002D07A8"/>
    <w:rsid w:val="00307D4C"/>
    <w:rsid w:val="00316548"/>
    <w:rsid w:val="003405EA"/>
    <w:rsid w:val="003769E1"/>
    <w:rsid w:val="003A74C1"/>
    <w:rsid w:val="003B7FEA"/>
    <w:rsid w:val="00404B31"/>
    <w:rsid w:val="004145CA"/>
    <w:rsid w:val="00433A94"/>
    <w:rsid w:val="004709AB"/>
    <w:rsid w:val="00474F67"/>
    <w:rsid w:val="00476E34"/>
    <w:rsid w:val="00484E14"/>
    <w:rsid w:val="0048500D"/>
    <w:rsid w:val="004A2174"/>
    <w:rsid w:val="004B21CB"/>
    <w:rsid w:val="004D0309"/>
    <w:rsid w:val="004F78C7"/>
    <w:rsid w:val="00513CCD"/>
    <w:rsid w:val="0052385B"/>
    <w:rsid w:val="00524E1B"/>
    <w:rsid w:val="005770F6"/>
    <w:rsid w:val="005F1A1B"/>
    <w:rsid w:val="005F7D9A"/>
    <w:rsid w:val="006135C0"/>
    <w:rsid w:val="006315F7"/>
    <w:rsid w:val="00647B26"/>
    <w:rsid w:val="006642FD"/>
    <w:rsid w:val="00672AE3"/>
    <w:rsid w:val="006807B0"/>
    <w:rsid w:val="00681BD0"/>
    <w:rsid w:val="00691B95"/>
    <w:rsid w:val="006A79CD"/>
    <w:rsid w:val="006B798A"/>
    <w:rsid w:val="006D3AA3"/>
    <w:rsid w:val="006D4994"/>
    <w:rsid w:val="006E1028"/>
    <w:rsid w:val="006E19C2"/>
    <w:rsid w:val="006F7BAF"/>
    <w:rsid w:val="00796699"/>
    <w:rsid w:val="00797BC5"/>
    <w:rsid w:val="00797FA7"/>
    <w:rsid w:val="007990E9"/>
    <w:rsid w:val="007A46E6"/>
    <w:rsid w:val="007B3726"/>
    <w:rsid w:val="008051BF"/>
    <w:rsid w:val="00832AD4"/>
    <w:rsid w:val="0085178A"/>
    <w:rsid w:val="008768C0"/>
    <w:rsid w:val="00883DC1"/>
    <w:rsid w:val="008C1F1C"/>
    <w:rsid w:val="008D47A6"/>
    <w:rsid w:val="008F6323"/>
    <w:rsid w:val="008F67C5"/>
    <w:rsid w:val="008F7AA2"/>
    <w:rsid w:val="00930403"/>
    <w:rsid w:val="00937EB1"/>
    <w:rsid w:val="00940A01"/>
    <w:rsid w:val="00963B2E"/>
    <w:rsid w:val="00981A5E"/>
    <w:rsid w:val="009975A0"/>
    <w:rsid w:val="009C5C6E"/>
    <w:rsid w:val="009E411B"/>
    <w:rsid w:val="009F5CD6"/>
    <w:rsid w:val="00A2454C"/>
    <w:rsid w:val="00A60089"/>
    <w:rsid w:val="00A70C46"/>
    <w:rsid w:val="00A90E92"/>
    <w:rsid w:val="00A95D7C"/>
    <w:rsid w:val="00AA0E5F"/>
    <w:rsid w:val="00AE245C"/>
    <w:rsid w:val="00B054EC"/>
    <w:rsid w:val="00B261C8"/>
    <w:rsid w:val="00BB1E97"/>
    <w:rsid w:val="00BB281F"/>
    <w:rsid w:val="00BB784B"/>
    <w:rsid w:val="00BE2C21"/>
    <w:rsid w:val="00BE4474"/>
    <w:rsid w:val="00BE6E23"/>
    <w:rsid w:val="00C01D20"/>
    <w:rsid w:val="00C202BF"/>
    <w:rsid w:val="00C3686C"/>
    <w:rsid w:val="00C40649"/>
    <w:rsid w:val="00C6399E"/>
    <w:rsid w:val="00C6524C"/>
    <w:rsid w:val="00C76408"/>
    <w:rsid w:val="00C858D7"/>
    <w:rsid w:val="00CD5BB4"/>
    <w:rsid w:val="00CF3D32"/>
    <w:rsid w:val="00D04D79"/>
    <w:rsid w:val="00D073BC"/>
    <w:rsid w:val="00D43A10"/>
    <w:rsid w:val="00D56B82"/>
    <w:rsid w:val="00D61B83"/>
    <w:rsid w:val="00D8173D"/>
    <w:rsid w:val="00DA2485"/>
    <w:rsid w:val="00DE29A8"/>
    <w:rsid w:val="00E10D44"/>
    <w:rsid w:val="00E56F91"/>
    <w:rsid w:val="00E6432D"/>
    <w:rsid w:val="00E94D91"/>
    <w:rsid w:val="00EA5EBD"/>
    <w:rsid w:val="00F03E33"/>
    <w:rsid w:val="00F15749"/>
    <w:rsid w:val="00F42A36"/>
    <w:rsid w:val="00F717A9"/>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
      </w:numPr>
      <w:tabs>
        <w:tab w:val="left" w:pos="397"/>
      </w:tabs>
      <w:spacing w:before="40" w:after="40" w:line="240" w:lineRule="auto"/>
    </w:pPr>
    <w:rPr>
      <w:rFonts w:ascii="CongressSans" w:eastAsia="Times New Roman" w:hAnsi="CongressSans" w:cs="CongressSans"/>
      <w:szCs w:val="22"/>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cy-GB"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5"/>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113010995">
      <w:bodyDiv w:val="1"/>
      <w:marLeft w:val="0"/>
      <w:marRight w:val="0"/>
      <w:marTop w:val="0"/>
      <w:marBottom w:val="0"/>
      <w:divBdr>
        <w:top w:val="none" w:sz="0" w:space="0" w:color="auto"/>
        <w:left w:val="none" w:sz="0" w:space="0" w:color="auto"/>
        <w:bottom w:val="none" w:sz="0" w:space="0" w:color="auto"/>
        <w:right w:val="none" w:sz="0" w:space="0" w:color="auto"/>
      </w:divBdr>
      <w:divsChild>
        <w:div w:id="819200630">
          <w:marLeft w:val="0"/>
          <w:marRight w:val="0"/>
          <w:marTop w:val="0"/>
          <w:marBottom w:val="0"/>
          <w:divBdr>
            <w:top w:val="none" w:sz="0" w:space="0" w:color="auto"/>
            <w:left w:val="none" w:sz="0" w:space="0" w:color="auto"/>
            <w:bottom w:val="none" w:sz="0" w:space="0" w:color="auto"/>
            <w:right w:val="none" w:sz="0" w:space="0" w:color="auto"/>
          </w:divBdr>
          <w:divsChild>
            <w:div w:id="902326002">
              <w:marLeft w:val="0"/>
              <w:marRight w:val="0"/>
              <w:marTop w:val="0"/>
              <w:marBottom w:val="0"/>
              <w:divBdr>
                <w:top w:val="none" w:sz="0" w:space="0" w:color="auto"/>
                <w:left w:val="none" w:sz="0" w:space="0" w:color="auto"/>
                <w:bottom w:val="none" w:sz="0" w:space="0" w:color="auto"/>
                <w:right w:val="none" w:sz="0" w:space="0" w:color="auto"/>
              </w:divBdr>
              <w:divsChild>
                <w:div w:id="1490318699">
                  <w:marLeft w:val="0"/>
                  <w:marRight w:val="0"/>
                  <w:marTop w:val="0"/>
                  <w:marBottom w:val="0"/>
                  <w:divBdr>
                    <w:top w:val="none" w:sz="0" w:space="0" w:color="auto"/>
                    <w:left w:val="none" w:sz="0" w:space="0" w:color="auto"/>
                    <w:bottom w:val="none" w:sz="0" w:space="0" w:color="auto"/>
                    <w:right w:val="none" w:sz="0" w:space="0" w:color="auto"/>
                  </w:divBdr>
                </w:div>
              </w:divsChild>
            </w:div>
            <w:div w:id="864175296">
              <w:marLeft w:val="0"/>
              <w:marRight w:val="0"/>
              <w:marTop w:val="0"/>
              <w:marBottom w:val="0"/>
              <w:divBdr>
                <w:top w:val="none" w:sz="0" w:space="0" w:color="auto"/>
                <w:left w:val="none" w:sz="0" w:space="0" w:color="auto"/>
                <w:bottom w:val="none" w:sz="0" w:space="0" w:color="auto"/>
                <w:right w:val="none" w:sz="0" w:space="0" w:color="auto"/>
              </w:divBdr>
              <w:divsChild>
                <w:div w:id="177155890">
                  <w:marLeft w:val="0"/>
                  <w:marRight w:val="0"/>
                  <w:marTop w:val="0"/>
                  <w:marBottom w:val="0"/>
                  <w:divBdr>
                    <w:top w:val="none" w:sz="0" w:space="0" w:color="auto"/>
                    <w:left w:val="none" w:sz="0" w:space="0" w:color="auto"/>
                    <w:bottom w:val="none" w:sz="0" w:space="0" w:color="auto"/>
                    <w:right w:val="none" w:sz="0" w:space="0" w:color="auto"/>
                  </w:divBdr>
                </w:div>
                <w:div w:id="361178052">
                  <w:marLeft w:val="0"/>
                  <w:marRight w:val="0"/>
                  <w:marTop w:val="0"/>
                  <w:marBottom w:val="0"/>
                  <w:divBdr>
                    <w:top w:val="none" w:sz="0" w:space="0" w:color="auto"/>
                    <w:left w:val="none" w:sz="0" w:space="0" w:color="auto"/>
                    <w:bottom w:val="none" w:sz="0" w:space="0" w:color="auto"/>
                    <w:right w:val="none" w:sz="0" w:space="0" w:color="auto"/>
                  </w:divBdr>
                </w:div>
              </w:divsChild>
            </w:div>
            <w:div w:id="1558198490">
              <w:marLeft w:val="0"/>
              <w:marRight w:val="0"/>
              <w:marTop w:val="0"/>
              <w:marBottom w:val="0"/>
              <w:divBdr>
                <w:top w:val="none" w:sz="0" w:space="0" w:color="auto"/>
                <w:left w:val="none" w:sz="0" w:space="0" w:color="auto"/>
                <w:bottom w:val="none" w:sz="0" w:space="0" w:color="auto"/>
                <w:right w:val="none" w:sz="0" w:space="0" w:color="auto"/>
              </w:divBdr>
              <w:divsChild>
                <w:div w:id="67508505">
                  <w:marLeft w:val="0"/>
                  <w:marRight w:val="0"/>
                  <w:marTop w:val="0"/>
                  <w:marBottom w:val="0"/>
                  <w:divBdr>
                    <w:top w:val="none" w:sz="0" w:space="0" w:color="auto"/>
                    <w:left w:val="none" w:sz="0" w:space="0" w:color="auto"/>
                    <w:bottom w:val="none" w:sz="0" w:space="0" w:color="auto"/>
                    <w:right w:val="none" w:sz="0" w:space="0" w:color="auto"/>
                  </w:divBdr>
                </w:div>
              </w:divsChild>
            </w:div>
            <w:div w:id="292828288">
              <w:marLeft w:val="0"/>
              <w:marRight w:val="0"/>
              <w:marTop w:val="0"/>
              <w:marBottom w:val="0"/>
              <w:divBdr>
                <w:top w:val="none" w:sz="0" w:space="0" w:color="auto"/>
                <w:left w:val="none" w:sz="0" w:space="0" w:color="auto"/>
                <w:bottom w:val="none" w:sz="0" w:space="0" w:color="auto"/>
                <w:right w:val="none" w:sz="0" w:space="0" w:color="auto"/>
              </w:divBdr>
              <w:divsChild>
                <w:div w:id="2378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9203">
          <w:marLeft w:val="0"/>
          <w:marRight w:val="0"/>
          <w:marTop w:val="0"/>
          <w:marBottom w:val="0"/>
          <w:divBdr>
            <w:top w:val="none" w:sz="0" w:space="0" w:color="auto"/>
            <w:left w:val="none" w:sz="0" w:space="0" w:color="auto"/>
            <w:bottom w:val="none" w:sz="0" w:space="0" w:color="auto"/>
            <w:right w:val="none" w:sz="0" w:space="0" w:color="auto"/>
          </w:divBdr>
          <w:divsChild>
            <w:div w:id="336738849">
              <w:marLeft w:val="0"/>
              <w:marRight w:val="0"/>
              <w:marTop w:val="0"/>
              <w:marBottom w:val="0"/>
              <w:divBdr>
                <w:top w:val="none" w:sz="0" w:space="0" w:color="auto"/>
                <w:left w:val="none" w:sz="0" w:space="0" w:color="auto"/>
                <w:bottom w:val="none" w:sz="0" w:space="0" w:color="auto"/>
                <w:right w:val="none" w:sz="0" w:space="0" w:color="auto"/>
              </w:divBdr>
              <w:divsChild>
                <w:div w:id="19624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8194">
          <w:marLeft w:val="0"/>
          <w:marRight w:val="0"/>
          <w:marTop w:val="0"/>
          <w:marBottom w:val="0"/>
          <w:divBdr>
            <w:top w:val="none" w:sz="0" w:space="0" w:color="auto"/>
            <w:left w:val="none" w:sz="0" w:space="0" w:color="auto"/>
            <w:bottom w:val="none" w:sz="0" w:space="0" w:color="auto"/>
            <w:right w:val="none" w:sz="0" w:space="0" w:color="auto"/>
          </w:divBdr>
          <w:divsChild>
            <w:div w:id="490561944">
              <w:marLeft w:val="0"/>
              <w:marRight w:val="0"/>
              <w:marTop w:val="0"/>
              <w:marBottom w:val="0"/>
              <w:divBdr>
                <w:top w:val="none" w:sz="0" w:space="0" w:color="auto"/>
                <w:left w:val="none" w:sz="0" w:space="0" w:color="auto"/>
                <w:bottom w:val="none" w:sz="0" w:space="0" w:color="auto"/>
                <w:right w:val="none" w:sz="0" w:space="0" w:color="auto"/>
              </w:divBdr>
              <w:divsChild>
                <w:div w:id="36470413">
                  <w:marLeft w:val="0"/>
                  <w:marRight w:val="0"/>
                  <w:marTop w:val="0"/>
                  <w:marBottom w:val="0"/>
                  <w:divBdr>
                    <w:top w:val="none" w:sz="0" w:space="0" w:color="auto"/>
                    <w:left w:val="none" w:sz="0" w:space="0" w:color="auto"/>
                    <w:bottom w:val="none" w:sz="0" w:space="0" w:color="auto"/>
                    <w:right w:val="none" w:sz="0" w:space="0" w:color="auto"/>
                  </w:divBdr>
                </w:div>
              </w:divsChild>
            </w:div>
            <w:div w:id="1916622863">
              <w:marLeft w:val="0"/>
              <w:marRight w:val="0"/>
              <w:marTop w:val="0"/>
              <w:marBottom w:val="0"/>
              <w:divBdr>
                <w:top w:val="none" w:sz="0" w:space="0" w:color="auto"/>
                <w:left w:val="none" w:sz="0" w:space="0" w:color="auto"/>
                <w:bottom w:val="none" w:sz="0" w:space="0" w:color="auto"/>
                <w:right w:val="none" w:sz="0" w:space="0" w:color="auto"/>
              </w:divBdr>
              <w:divsChild>
                <w:div w:id="3734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02977">
          <w:marLeft w:val="0"/>
          <w:marRight w:val="0"/>
          <w:marTop w:val="0"/>
          <w:marBottom w:val="0"/>
          <w:divBdr>
            <w:top w:val="none" w:sz="0" w:space="0" w:color="auto"/>
            <w:left w:val="none" w:sz="0" w:space="0" w:color="auto"/>
            <w:bottom w:val="none" w:sz="0" w:space="0" w:color="auto"/>
            <w:right w:val="none" w:sz="0" w:space="0" w:color="auto"/>
          </w:divBdr>
          <w:divsChild>
            <w:div w:id="1452481190">
              <w:marLeft w:val="0"/>
              <w:marRight w:val="0"/>
              <w:marTop w:val="0"/>
              <w:marBottom w:val="0"/>
              <w:divBdr>
                <w:top w:val="none" w:sz="0" w:space="0" w:color="auto"/>
                <w:left w:val="none" w:sz="0" w:space="0" w:color="auto"/>
                <w:bottom w:val="none" w:sz="0" w:space="0" w:color="auto"/>
                <w:right w:val="none" w:sz="0" w:space="0" w:color="auto"/>
              </w:divBdr>
              <w:divsChild>
                <w:div w:id="1833400974">
                  <w:marLeft w:val="0"/>
                  <w:marRight w:val="0"/>
                  <w:marTop w:val="0"/>
                  <w:marBottom w:val="0"/>
                  <w:divBdr>
                    <w:top w:val="none" w:sz="0" w:space="0" w:color="auto"/>
                    <w:left w:val="none" w:sz="0" w:space="0" w:color="auto"/>
                    <w:bottom w:val="none" w:sz="0" w:space="0" w:color="auto"/>
                    <w:right w:val="none" w:sz="0" w:space="0" w:color="auto"/>
                  </w:divBdr>
                </w:div>
              </w:divsChild>
            </w:div>
            <w:div w:id="1008219631">
              <w:marLeft w:val="0"/>
              <w:marRight w:val="0"/>
              <w:marTop w:val="0"/>
              <w:marBottom w:val="0"/>
              <w:divBdr>
                <w:top w:val="none" w:sz="0" w:space="0" w:color="auto"/>
                <w:left w:val="none" w:sz="0" w:space="0" w:color="auto"/>
                <w:bottom w:val="none" w:sz="0" w:space="0" w:color="auto"/>
                <w:right w:val="none" w:sz="0" w:space="0" w:color="auto"/>
              </w:divBdr>
              <w:divsChild>
                <w:div w:id="1865247691">
                  <w:marLeft w:val="0"/>
                  <w:marRight w:val="0"/>
                  <w:marTop w:val="0"/>
                  <w:marBottom w:val="0"/>
                  <w:divBdr>
                    <w:top w:val="none" w:sz="0" w:space="0" w:color="auto"/>
                    <w:left w:val="none" w:sz="0" w:space="0" w:color="auto"/>
                    <w:bottom w:val="none" w:sz="0" w:space="0" w:color="auto"/>
                    <w:right w:val="none" w:sz="0" w:space="0" w:color="auto"/>
                  </w:divBdr>
                </w:div>
                <w:div w:id="17540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2013-05-15T12:05:00Z</cp:lastPrinted>
  <dcterms:created xsi:type="dcterms:W3CDTF">2021-04-23T09:07:00Z</dcterms:created>
  <dcterms:modified xsi:type="dcterms:W3CDTF">2021-05-04T09:40:00Z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