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F8102BE" w:rsidR="00474F67" w:rsidRPr="007F05E6" w:rsidRDefault="00474F67" w:rsidP="00474F67">
      <w:pPr>
        <w:pStyle w:val="Unittitle"/>
      </w:pPr>
      <w:r w:rsidRPr="007051BD">
        <w:t xml:space="preserve">Unit </w:t>
      </w:r>
      <w:r w:rsidR="00021752">
        <w:t>104</w:t>
      </w:r>
      <w:r w:rsidRPr="007051BD">
        <w:t xml:space="preserve">: </w:t>
      </w:r>
      <w:r w:rsidR="00D43A10">
        <w:t xml:space="preserve">Employability in </w:t>
      </w:r>
      <w:r w:rsidR="005C0E60">
        <w:t>the c</w:t>
      </w:r>
      <w:r w:rsidR="00D43A10">
        <w:t xml:space="preserve">onstruction and </w:t>
      </w:r>
      <w:r w:rsidR="005C0E60">
        <w:t>b</w:t>
      </w:r>
      <w:r w:rsidR="00D43A10">
        <w:t xml:space="preserve">uilt </w:t>
      </w:r>
      <w:r w:rsidR="005C0E60">
        <w:t>e</w:t>
      </w:r>
      <w:r w:rsidR="00D43A10">
        <w:t>nvironment sector</w:t>
      </w:r>
    </w:p>
    <w:p w14:paraId="78325DB0" w14:textId="56465341" w:rsidR="00A60089" w:rsidRDefault="00474F67" w:rsidP="00A60089">
      <w:pPr>
        <w:pStyle w:val="Heading1"/>
      </w:pPr>
      <w:r w:rsidRPr="00692A45">
        <w:t>Worksheet</w:t>
      </w:r>
      <w:r w:rsidR="00021752">
        <w:t xml:space="preserve"> 8</w:t>
      </w:r>
      <w:r w:rsidR="007250F5">
        <w:t>: Business terminology</w:t>
      </w:r>
      <w:r w:rsidR="00672AE3">
        <w:t xml:space="preserve"> (</w:t>
      </w:r>
      <w:r w:rsidR="005C0E60">
        <w:t>t</w:t>
      </w:r>
      <w:r w:rsidR="007250F5">
        <w:t>utor</w:t>
      </w:r>
      <w:r w:rsidR="00672AE3">
        <w:t>)</w:t>
      </w:r>
    </w:p>
    <w:p w14:paraId="4A80A18E" w14:textId="77777777" w:rsidR="001F0F68" w:rsidRDefault="001F0F68" w:rsidP="009C6648">
      <w:pPr>
        <w:pStyle w:val="Normalnumberedlist"/>
      </w:pPr>
      <w:r>
        <w:t xml:space="preserve">Fill in the definitions of the business terminology given in the table below.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7250F5" w14:paraId="29F96F39" w14:textId="77777777" w:rsidTr="001F0F68">
        <w:trPr>
          <w:tblHeader/>
        </w:trPr>
        <w:tc>
          <w:tcPr>
            <w:tcW w:w="1696" w:type="dxa"/>
          </w:tcPr>
          <w:p w14:paraId="22BF884B" w14:textId="0392C71E" w:rsidR="007250F5" w:rsidRPr="007250F5" w:rsidRDefault="007250F5" w:rsidP="00021752">
            <w:pPr>
              <w:spacing w:line="240" w:lineRule="auto"/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Business terminology</w:t>
            </w:r>
          </w:p>
        </w:tc>
        <w:tc>
          <w:tcPr>
            <w:tcW w:w="7938" w:type="dxa"/>
          </w:tcPr>
          <w:p w14:paraId="28DC641D" w14:textId="2A8D8A0F" w:rsidR="007250F5" w:rsidRPr="00B5017F" w:rsidRDefault="007250F5" w:rsidP="00021752">
            <w:pPr>
              <w:spacing w:line="240" w:lineRule="auto"/>
              <w:rPr>
                <w:rFonts w:cs="Arial"/>
                <w:b/>
                <w:bCs/>
                <w:color w:val="FF0000"/>
                <w:sz w:val="24"/>
              </w:rPr>
            </w:pPr>
            <w:r w:rsidRPr="00B5017F">
              <w:rPr>
                <w:rFonts w:cs="Arial"/>
                <w:b/>
                <w:bCs/>
                <w:color w:val="000000" w:themeColor="text1"/>
                <w:sz w:val="24"/>
              </w:rPr>
              <w:t>Definition</w:t>
            </w:r>
          </w:p>
        </w:tc>
      </w:tr>
      <w:tr w:rsidR="007250F5" w14:paraId="5F0B0CD2" w14:textId="77777777" w:rsidTr="001F0F68">
        <w:tc>
          <w:tcPr>
            <w:tcW w:w="1696" w:type="dxa"/>
          </w:tcPr>
          <w:p w14:paraId="612CAA82" w14:textId="41CE7A00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Loss</w:t>
            </w:r>
          </w:p>
        </w:tc>
        <w:tc>
          <w:tcPr>
            <w:tcW w:w="7938" w:type="dxa"/>
          </w:tcPr>
          <w:p w14:paraId="09961E0A" w14:textId="7240FF98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Loss within the construction industry can either be financial or due to loss of life from poor safety considerations.</w:t>
            </w:r>
            <w:r w:rsidR="00021752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In financial accounting, a loss is a decrease in net income that is outside the normal operations of the business. Losses can result from 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several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activities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.</w:t>
            </w:r>
          </w:p>
        </w:tc>
      </w:tr>
      <w:tr w:rsidR="007250F5" w14:paraId="423337E5" w14:textId="77777777" w:rsidTr="001F0F68">
        <w:tc>
          <w:tcPr>
            <w:tcW w:w="1696" w:type="dxa"/>
          </w:tcPr>
          <w:p w14:paraId="45F7AE0E" w14:textId="3681BE0C" w:rsidR="007250F5" w:rsidRPr="001F0F68" w:rsidRDefault="002B1EA4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Bookkeeping</w:t>
            </w:r>
          </w:p>
        </w:tc>
        <w:tc>
          <w:tcPr>
            <w:tcW w:w="7938" w:type="dxa"/>
          </w:tcPr>
          <w:p w14:paraId="49DD19CA" w14:textId="5FCF6FF6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Bookkeeping is the recording of financial transactions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and is part of the process of accounting in business. Transactions include purchases, sales, receipts, and payments by an individual person or an organi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ation/corporation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. Construction companies must 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monitor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their books to ensure that they are paying appropriate taxes and working within the law.</w:t>
            </w:r>
          </w:p>
        </w:tc>
      </w:tr>
      <w:tr w:rsidR="007250F5" w14:paraId="7A9022A5" w14:textId="77777777" w:rsidTr="001F0F68">
        <w:tc>
          <w:tcPr>
            <w:tcW w:w="1696" w:type="dxa"/>
          </w:tcPr>
          <w:p w14:paraId="41F41A0B" w14:textId="77BFE71F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Auditing</w:t>
            </w:r>
          </w:p>
        </w:tc>
        <w:tc>
          <w:tcPr>
            <w:tcW w:w="7938" w:type="dxa"/>
          </w:tcPr>
          <w:p w14:paraId="4C97E745" w14:textId="3CD49473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 construction audit look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primarily at financial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aspects, considering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construction elements and safety as it relates to the monetary elements of a project. This can include inspecting materials and completed areas of a build to ensure all elements of a contract are being upheld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.</w:t>
            </w:r>
          </w:p>
        </w:tc>
      </w:tr>
      <w:tr w:rsidR="007250F5" w14:paraId="59D73961" w14:textId="77777777" w:rsidTr="001F0F68">
        <w:tc>
          <w:tcPr>
            <w:tcW w:w="1696" w:type="dxa"/>
          </w:tcPr>
          <w:p w14:paraId="068E1951" w14:textId="5A2E69AE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Overheads</w:t>
            </w:r>
          </w:p>
        </w:tc>
        <w:tc>
          <w:tcPr>
            <w:tcW w:w="7938" w:type="dxa"/>
          </w:tcPr>
          <w:p w14:paraId="146DF831" w14:textId="2958183E" w:rsidR="007250F5" w:rsidRPr="001F0F68" w:rsidRDefault="006341A0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hyperlink r:id="rId10" w:tooltip="Overheads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Overheads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 are </w:t>
            </w:r>
            <w:hyperlink r:id="rId11" w:tooltip="Priced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priced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proportionately against a </w:t>
            </w:r>
            <w:hyperlink r:id="rId12" w:tooltip="Projec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and are the calculated </w:t>
            </w:r>
            <w:hyperlink r:id="rId13" w:tooltip="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of running the </w:t>
            </w:r>
            <w:hyperlink r:id="rId14" w:tooltip="Company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company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contracted to carry out a </w:t>
            </w:r>
            <w:hyperlink r:id="rId15" w:tooltip="Projec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. Often these </w:t>
            </w:r>
            <w:hyperlink r:id="rId16" w:tooltip="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are described as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head </w:t>
            </w:r>
            <w:hyperlink r:id="rId17" w:tooltip="Office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administrative </w:t>
            </w:r>
            <w:hyperlink r:id="rId18" w:tooltip="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(in some cases there may be factory or </w:t>
            </w:r>
            <w:hyperlink r:id="rId19" w:tooltip="Manufacturing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manufacturing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20" w:tooltip="Overheads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overheads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).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Head </w:t>
            </w:r>
            <w:hyperlink r:id="rId21" w:tooltip="Office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or administrative </w:t>
            </w:r>
            <w:hyperlink r:id="rId22" w:tooltip="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might include; </w:t>
            </w:r>
            <w:hyperlink r:id="rId23" w:tooltip="Property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property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24" w:tooltip="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25" w:tooltip="Finance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finance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charges on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26" w:tooltip="Loan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loans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27" w:tooltip="Insurance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insurances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, staff, taxes, external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advisors, marketing and tendering</w:t>
            </w:r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28" w:tooltip="Activities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activities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. Most </w:t>
            </w:r>
            <w:hyperlink r:id="rId29" w:tooltip="Contracting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contracting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30" w:tooltip="Organisation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organisations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will calculate a percentage against </w:t>
            </w:r>
            <w:hyperlink r:id="rId31" w:tooltip="Project cos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 costs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to be set against each </w:t>
            </w:r>
            <w:hyperlink r:id="rId32" w:tooltip="Project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somewhere between 2.5% and 10% to cover head </w:t>
            </w:r>
            <w:hyperlink r:id="rId33" w:tooltip="Office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34" w:tooltip="Services" w:history="1">
              <w:r w:rsidR="007250F5"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services</w:t>
              </w:r>
            </w:hyperlink>
            <w:r w:rsidR="007250F5"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  <w:tr w:rsidR="007250F5" w14:paraId="5F65CFCD" w14:textId="77777777" w:rsidTr="001F0F68">
        <w:tc>
          <w:tcPr>
            <w:tcW w:w="1696" w:type="dxa"/>
          </w:tcPr>
          <w:p w14:paraId="30C12651" w14:textId="4B297A02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Growth</w:t>
            </w:r>
          </w:p>
        </w:tc>
        <w:tc>
          <w:tcPr>
            <w:tcW w:w="7938" w:type="dxa"/>
          </w:tcPr>
          <w:p w14:paraId="7CE7B05D" w14:textId="76F24CCD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Construction companies are continually looking for growth and to retain staff and increase profit margins.</w:t>
            </w:r>
            <w:r w:rsidR="00021752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>Business Growth is a stage where the business reaches the point for expansion and seeks additional options to generate more profit. Business growth is a function of the business lifecycle, industry growth trends, and the owners desire for equity value creation.</w:t>
            </w:r>
          </w:p>
        </w:tc>
      </w:tr>
      <w:tr w:rsidR="007250F5" w14:paraId="699201A2" w14:textId="77777777" w:rsidTr="001F0F68">
        <w:tc>
          <w:tcPr>
            <w:tcW w:w="1696" w:type="dxa"/>
          </w:tcPr>
          <w:p w14:paraId="5FE1DA97" w14:textId="12AE4845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Networking</w:t>
            </w:r>
          </w:p>
        </w:tc>
        <w:tc>
          <w:tcPr>
            <w:tcW w:w="7938" w:type="dxa"/>
          </w:tcPr>
          <w:p w14:paraId="768BBB01" w14:textId="1E9DE44B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Networking is a socioeconomic business activity by which businesspeople and entrepreneurs meet to form business relationships and to recogni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e, create, or act upon business opportunities, share </w:t>
            </w:r>
            <w:proofErr w:type="gramStart"/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information</w:t>
            </w:r>
            <w:proofErr w:type="gramEnd"/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and seek potential partners for ventures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>. Construction networking can increase the chance of a business gaining more work or future contracts.</w:t>
            </w:r>
          </w:p>
        </w:tc>
      </w:tr>
      <w:tr w:rsidR="007250F5" w14:paraId="1A5F0364" w14:textId="77777777" w:rsidTr="001F0F68">
        <w:tc>
          <w:tcPr>
            <w:tcW w:w="1696" w:type="dxa"/>
          </w:tcPr>
          <w:p w14:paraId="21558FD3" w14:textId="3B96992D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Profit</w:t>
            </w:r>
          </w:p>
        </w:tc>
        <w:tc>
          <w:tcPr>
            <w:tcW w:w="7938" w:type="dxa"/>
          </w:tcPr>
          <w:p w14:paraId="6A7B61AC" w14:textId="3ADA5B72" w:rsidR="007250F5" w:rsidRPr="001F0F68" w:rsidRDefault="007250F5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On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35" w:tooltip="Construction 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construction projects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36" w:tooltip="Profit and overhead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 and overheads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are normally referred to in relation to </w:t>
            </w:r>
            <w:hyperlink r:id="rId37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In terms of individual </w:t>
            </w:r>
            <w:hyperlink r:id="rId38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39" w:tooltip="Profi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can be defined as the money the </w:t>
            </w:r>
            <w:hyperlink r:id="rId40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makes after </w:t>
            </w:r>
            <w:hyperlink r:id="rId41" w:tooltip="Accounting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accounting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for all </w:t>
            </w:r>
            <w:hyperlink r:id="rId42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and expenses. The percentage </w:t>
            </w:r>
            <w:hyperlink r:id="rId43" w:tooltip="Profi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 </w:t>
            </w:r>
            <w:hyperlink r:id="rId44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might apply to their </w:t>
            </w:r>
            <w:hyperlink r:id="rId45" w:tooltip="Tender pri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tender price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will vary according to </w:t>
            </w:r>
            <w:hyperlink r:id="rId46" w:tooltip="Risk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risk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 workload and economic climate. It can also relate to the </w:t>
            </w:r>
            <w:hyperlink r:id="rId47" w:tooltip="Turnover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turnover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of </w:t>
            </w:r>
            <w:hyperlink r:id="rId48" w:tooltip="Capital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capital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employed for each </w:t>
            </w:r>
            <w:hyperlink r:id="rId49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; the more times a </w:t>
            </w:r>
            <w:hyperlink r:id="rId50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can </w:t>
            </w:r>
            <w:hyperlink r:id="rId51" w:tooltip="Turnover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turnover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its </w:t>
            </w:r>
            <w:hyperlink r:id="rId52" w:tooltip="Capital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capital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on a </w:t>
            </w:r>
            <w:hyperlink r:id="rId53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the more it can afford to cut </w:t>
            </w:r>
            <w:hyperlink r:id="rId54" w:tooltip="Margin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margins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14:paraId="575880A2" w14:textId="77777777" w:rsidR="004C225C" w:rsidRPr="004C225C" w:rsidRDefault="004C225C" w:rsidP="004C225C"/>
    <w:sectPr w:rsidR="004C225C" w:rsidRPr="004C225C" w:rsidSect="00F03E33">
      <w:headerReference w:type="default" r:id="rId55"/>
      <w:footerReference w:type="default" r:id="rId5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24A8C" w14:textId="77777777" w:rsidR="006341A0" w:rsidRDefault="006341A0">
      <w:pPr>
        <w:spacing w:before="0" w:after="0"/>
      </w:pPr>
      <w:r>
        <w:separator/>
      </w:r>
    </w:p>
  </w:endnote>
  <w:endnote w:type="continuationSeparator" w:id="0">
    <w:p w14:paraId="1E5FEC16" w14:textId="77777777" w:rsidR="006341A0" w:rsidRDefault="006341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EAB134" w:rsidR="00110217" w:rsidRPr="00F03E33" w:rsidRDefault="00E156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37DA0" w14:textId="77777777" w:rsidR="006341A0" w:rsidRDefault="006341A0">
      <w:pPr>
        <w:spacing w:before="0" w:after="0"/>
      </w:pPr>
      <w:r>
        <w:separator/>
      </w:r>
    </w:p>
  </w:footnote>
  <w:footnote w:type="continuationSeparator" w:id="0">
    <w:p w14:paraId="45670917" w14:textId="77777777" w:rsidR="006341A0" w:rsidRDefault="006341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6F0B0" w14:textId="4B115172" w:rsidR="005C0E6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5C0E60">
      <w:rPr>
        <w:sz w:val="28"/>
        <w:szCs w:val="28"/>
      </w:rPr>
      <w:t>in</w:t>
    </w:r>
    <w:r w:rsidRPr="00D42CEB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 xml:space="preserve">Construction and </w:t>
    </w:r>
    <w:r w:rsidR="005C0E60">
      <w:rPr>
        <w:b/>
        <w:bCs/>
        <w:sz w:val="28"/>
        <w:szCs w:val="28"/>
      </w:rPr>
      <w:t xml:space="preserve">Building </w:t>
    </w:r>
    <w:r w:rsidRPr="00D42CEB">
      <w:rPr>
        <w:b/>
        <w:bCs/>
        <w:sz w:val="28"/>
        <w:szCs w:val="28"/>
      </w:rPr>
      <w:t xml:space="preserve"> </w:t>
    </w:r>
  </w:p>
  <w:p w14:paraId="1C414C93" w14:textId="3411B939" w:rsidR="00F03E33" w:rsidRPr="00D42CEB" w:rsidRDefault="005C0E6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0EF7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2175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21752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30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2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3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752"/>
    <w:rsid w:val="00082C62"/>
    <w:rsid w:val="000B231F"/>
    <w:rsid w:val="000B2807"/>
    <w:rsid w:val="000E194B"/>
    <w:rsid w:val="00110217"/>
    <w:rsid w:val="0014141E"/>
    <w:rsid w:val="00152AC3"/>
    <w:rsid w:val="00156AF3"/>
    <w:rsid w:val="0019491D"/>
    <w:rsid w:val="001F0F68"/>
    <w:rsid w:val="001F74AD"/>
    <w:rsid w:val="00243CCB"/>
    <w:rsid w:val="002B1EA4"/>
    <w:rsid w:val="002C4032"/>
    <w:rsid w:val="002D07A8"/>
    <w:rsid w:val="003405EA"/>
    <w:rsid w:val="00404B31"/>
    <w:rsid w:val="004145CA"/>
    <w:rsid w:val="00434578"/>
    <w:rsid w:val="00437D1C"/>
    <w:rsid w:val="00454AD1"/>
    <w:rsid w:val="00474F67"/>
    <w:rsid w:val="0048500D"/>
    <w:rsid w:val="004A2174"/>
    <w:rsid w:val="004C225C"/>
    <w:rsid w:val="00524E1B"/>
    <w:rsid w:val="005C0E60"/>
    <w:rsid w:val="005F1A1B"/>
    <w:rsid w:val="006135C0"/>
    <w:rsid w:val="006341A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32AD4"/>
    <w:rsid w:val="008768C0"/>
    <w:rsid w:val="008C1F1C"/>
    <w:rsid w:val="008D47A6"/>
    <w:rsid w:val="00917FDC"/>
    <w:rsid w:val="00930403"/>
    <w:rsid w:val="00937EB1"/>
    <w:rsid w:val="00943622"/>
    <w:rsid w:val="00963B2E"/>
    <w:rsid w:val="00967EEE"/>
    <w:rsid w:val="009975A0"/>
    <w:rsid w:val="009C5C6E"/>
    <w:rsid w:val="009C6648"/>
    <w:rsid w:val="009F3967"/>
    <w:rsid w:val="009F5CD6"/>
    <w:rsid w:val="00A04F4F"/>
    <w:rsid w:val="00A2454C"/>
    <w:rsid w:val="00A60089"/>
    <w:rsid w:val="00A70C46"/>
    <w:rsid w:val="00A90E92"/>
    <w:rsid w:val="00A95D7C"/>
    <w:rsid w:val="00AE1ECE"/>
    <w:rsid w:val="00AE245C"/>
    <w:rsid w:val="00B054EC"/>
    <w:rsid w:val="00B5017F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DF4F8D"/>
    <w:rsid w:val="00E156CF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F0F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designingbuildings.co.uk/wiki/Cost" TargetMode="External"/><Relationship Id="rId18" Type="http://schemas.openxmlformats.org/officeDocument/2006/relationships/hyperlink" Target="https://www.designingbuildings.co.uk/wiki/Cost" TargetMode="External"/><Relationship Id="rId26" Type="http://schemas.openxmlformats.org/officeDocument/2006/relationships/hyperlink" Target="https://www.designingbuildings.co.uk/wiki/Loan" TargetMode="External"/><Relationship Id="rId39" Type="http://schemas.openxmlformats.org/officeDocument/2006/relationships/hyperlink" Target="https://www.designingbuildings.co.uk/wiki/Profit" TargetMode="External"/><Relationship Id="rId21" Type="http://schemas.openxmlformats.org/officeDocument/2006/relationships/hyperlink" Target="https://www.designingbuildings.co.uk/wiki/Office" TargetMode="External"/><Relationship Id="rId34" Type="http://schemas.openxmlformats.org/officeDocument/2006/relationships/hyperlink" Target="https://www.designingbuildings.co.uk/wiki/Services" TargetMode="External"/><Relationship Id="rId42" Type="http://schemas.openxmlformats.org/officeDocument/2006/relationships/hyperlink" Target="https://www.designingbuildings.co.uk/wiki/Cost" TargetMode="External"/><Relationship Id="rId47" Type="http://schemas.openxmlformats.org/officeDocument/2006/relationships/hyperlink" Target="https://www.designingbuildings.co.uk/wiki/Turnover" TargetMode="External"/><Relationship Id="rId50" Type="http://schemas.openxmlformats.org/officeDocument/2006/relationships/hyperlink" Target="https://www.designingbuildings.co.uk/wiki/Contractors" TargetMode="External"/><Relationship Id="rId55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designingbuildings.co.uk/wiki/Project" TargetMode="External"/><Relationship Id="rId17" Type="http://schemas.openxmlformats.org/officeDocument/2006/relationships/hyperlink" Target="https://www.designingbuildings.co.uk/wiki/Office" TargetMode="External"/><Relationship Id="rId25" Type="http://schemas.openxmlformats.org/officeDocument/2006/relationships/hyperlink" Target="https://www.designingbuildings.co.uk/wiki/Finance" TargetMode="External"/><Relationship Id="rId33" Type="http://schemas.openxmlformats.org/officeDocument/2006/relationships/hyperlink" Target="https://www.designingbuildings.co.uk/wiki/Office" TargetMode="External"/><Relationship Id="rId38" Type="http://schemas.openxmlformats.org/officeDocument/2006/relationships/hyperlink" Target="https://www.designingbuildings.co.uk/wiki/Project" TargetMode="External"/><Relationship Id="rId46" Type="http://schemas.openxmlformats.org/officeDocument/2006/relationships/hyperlink" Target="https://www.designingbuildings.co.uk/wiki/Ri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designingbuildings.co.uk/wiki/Cost" TargetMode="External"/><Relationship Id="rId20" Type="http://schemas.openxmlformats.org/officeDocument/2006/relationships/hyperlink" Target="https://www.designingbuildings.co.uk/wiki/Overheads" TargetMode="External"/><Relationship Id="rId29" Type="http://schemas.openxmlformats.org/officeDocument/2006/relationships/hyperlink" Target="https://www.designingbuildings.co.uk/wiki/Contracting" TargetMode="External"/><Relationship Id="rId41" Type="http://schemas.openxmlformats.org/officeDocument/2006/relationships/hyperlink" Target="https://www.designingbuildings.co.uk/wiki/Accounting" TargetMode="External"/><Relationship Id="rId54" Type="http://schemas.openxmlformats.org/officeDocument/2006/relationships/hyperlink" Target="https://www.designingbuildings.co.uk/wiki/Margi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esigningbuildings.co.uk/wiki/Priced" TargetMode="External"/><Relationship Id="rId24" Type="http://schemas.openxmlformats.org/officeDocument/2006/relationships/hyperlink" Target="https://www.designingbuildings.co.uk/wiki/Cost" TargetMode="External"/><Relationship Id="rId32" Type="http://schemas.openxmlformats.org/officeDocument/2006/relationships/hyperlink" Target="https://www.designingbuildings.co.uk/wiki/Project" TargetMode="External"/><Relationship Id="rId37" Type="http://schemas.openxmlformats.org/officeDocument/2006/relationships/hyperlink" Target="https://www.designingbuildings.co.uk/wiki/Contractors" TargetMode="External"/><Relationship Id="rId40" Type="http://schemas.openxmlformats.org/officeDocument/2006/relationships/hyperlink" Target="https://www.designingbuildings.co.uk/wiki/Project" TargetMode="External"/><Relationship Id="rId45" Type="http://schemas.openxmlformats.org/officeDocument/2006/relationships/hyperlink" Target="https://www.designingbuildings.co.uk/wiki/Tender_price" TargetMode="External"/><Relationship Id="rId53" Type="http://schemas.openxmlformats.org/officeDocument/2006/relationships/hyperlink" Target="https://www.designingbuildings.co.uk/wiki/Project" TargetMode="External"/><Relationship Id="rId58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designingbuildings.co.uk/wiki/Project" TargetMode="External"/><Relationship Id="rId23" Type="http://schemas.openxmlformats.org/officeDocument/2006/relationships/hyperlink" Target="https://www.designingbuildings.co.uk/wiki/Property" TargetMode="External"/><Relationship Id="rId28" Type="http://schemas.openxmlformats.org/officeDocument/2006/relationships/hyperlink" Target="https://www.designingbuildings.co.uk/wiki/Activities" TargetMode="External"/><Relationship Id="rId36" Type="http://schemas.openxmlformats.org/officeDocument/2006/relationships/hyperlink" Target="https://www.designingbuildings.co.uk/wiki/Profit_and_overheads" TargetMode="External"/><Relationship Id="rId49" Type="http://schemas.openxmlformats.org/officeDocument/2006/relationships/hyperlink" Target="https://www.designingbuildings.co.uk/wiki/Project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designingbuildings.co.uk/wiki/Overheads" TargetMode="External"/><Relationship Id="rId19" Type="http://schemas.openxmlformats.org/officeDocument/2006/relationships/hyperlink" Target="https://www.designingbuildings.co.uk/wiki/Manufacturing" TargetMode="External"/><Relationship Id="rId31" Type="http://schemas.openxmlformats.org/officeDocument/2006/relationships/hyperlink" Target="https://www.designingbuildings.co.uk/wiki/Project_cost" TargetMode="External"/><Relationship Id="rId44" Type="http://schemas.openxmlformats.org/officeDocument/2006/relationships/hyperlink" Target="https://www.designingbuildings.co.uk/wiki/Contractors" TargetMode="External"/><Relationship Id="rId52" Type="http://schemas.openxmlformats.org/officeDocument/2006/relationships/hyperlink" Target="https://www.designingbuildings.co.uk/wiki/Capit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esigningbuildings.co.uk/wiki/Company" TargetMode="External"/><Relationship Id="rId22" Type="http://schemas.openxmlformats.org/officeDocument/2006/relationships/hyperlink" Target="https://www.designingbuildings.co.uk/wiki/Cost" TargetMode="External"/><Relationship Id="rId27" Type="http://schemas.openxmlformats.org/officeDocument/2006/relationships/hyperlink" Target="https://www.designingbuildings.co.uk/wiki/Insurance" TargetMode="External"/><Relationship Id="rId30" Type="http://schemas.openxmlformats.org/officeDocument/2006/relationships/hyperlink" Target="https://www.designingbuildings.co.uk/wiki/Organisation" TargetMode="External"/><Relationship Id="rId35" Type="http://schemas.openxmlformats.org/officeDocument/2006/relationships/hyperlink" Target="https://www.designingbuildings.co.uk/wiki/Construction_project" TargetMode="External"/><Relationship Id="rId43" Type="http://schemas.openxmlformats.org/officeDocument/2006/relationships/hyperlink" Target="https://www.designingbuildings.co.uk/wiki/Profit" TargetMode="External"/><Relationship Id="rId48" Type="http://schemas.openxmlformats.org/officeDocument/2006/relationships/hyperlink" Target="https://www.designingbuildings.co.uk/wiki/Capital" TargetMode="External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s://www.designingbuildings.co.uk/wiki/Turnover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2020-05-17T15:48:00Z</dcterms:created>
  <dcterms:modified xsi:type="dcterms:W3CDTF">2021-02-18T13:25:00Z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