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6A18FB0B" w:rsidR="00474F67" w:rsidRPr="007F05E6" w:rsidRDefault="00474F67" w:rsidP="00474F67">
      <w:pPr>
        <w:pStyle w:val="Unittitle"/>
      </w:pPr>
      <w:r w:rsidRPr="007051BD">
        <w:t xml:space="preserve">Unit </w:t>
      </w:r>
      <w:r w:rsidR="008A2009">
        <w:t>105</w:t>
      </w:r>
      <w:r w:rsidRPr="007051BD">
        <w:t xml:space="preserve">: </w:t>
      </w:r>
      <w:r w:rsidR="001259FF" w:rsidRPr="001259FF">
        <w:t xml:space="preserve">Protecting </w:t>
      </w:r>
      <w:r w:rsidR="001A19E6">
        <w:t>h</w:t>
      </w:r>
      <w:r w:rsidR="001259FF" w:rsidRPr="001259FF">
        <w:t xml:space="preserve">ealth, </w:t>
      </w:r>
      <w:r w:rsidR="001A19E6">
        <w:t>s</w:t>
      </w:r>
      <w:r w:rsidR="001259FF" w:rsidRPr="001259FF">
        <w:t xml:space="preserve">afety and the </w:t>
      </w:r>
      <w:r w:rsidR="001A19E6">
        <w:t>e</w:t>
      </w:r>
      <w:r w:rsidR="001259FF" w:rsidRPr="001259FF">
        <w:t xml:space="preserve">nvironment </w:t>
      </w:r>
      <w:r w:rsidR="001A19E6">
        <w:t>w</w:t>
      </w:r>
      <w:r w:rsidR="001259FF" w:rsidRPr="001259FF">
        <w:t xml:space="preserve">hen </w:t>
      </w:r>
      <w:r w:rsidR="001A19E6">
        <w:t>w</w:t>
      </w:r>
      <w:r w:rsidR="001259FF" w:rsidRPr="001259FF">
        <w:t xml:space="preserve">orking in the </w:t>
      </w:r>
      <w:r w:rsidR="001A19E6">
        <w:t>c</w:t>
      </w:r>
      <w:r w:rsidR="001259FF" w:rsidRPr="001259FF">
        <w:t xml:space="preserve">onstruction and </w:t>
      </w:r>
      <w:r w:rsidR="001A19E6">
        <w:t>b</w:t>
      </w:r>
      <w:r w:rsidR="001259FF" w:rsidRPr="001259FF">
        <w:t xml:space="preserve">uilt </w:t>
      </w:r>
      <w:r w:rsidR="001A19E6">
        <w:t>e</w:t>
      </w:r>
      <w:r w:rsidR="001259FF" w:rsidRPr="001259FF">
        <w:t xml:space="preserve">nvironment </w:t>
      </w:r>
      <w:r w:rsidR="001A19E6">
        <w:t>s</w:t>
      </w:r>
      <w:r w:rsidR="001259FF" w:rsidRPr="001259FF">
        <w:t>ector</w:t>
      </w:r>
    </w:p>
    <w:p w14:paraId="5C5C47ED" w14:textId="4EF629DB" w:rsidR="001259FF" w:rsidRDefault="00AA0E5F" w:rsidP="00A60089">
      <w:pPr>
        <w:pStyle w:val="Heading1"/>
      </w:pPr>
      <w:r>
        <w:t>Worksheet</w:t>
      </w:r>
      <w:r w:rsidR="008A2009">
        <w:t xml:space="preserve"> 14</w:t>
      </w:r>
      <w:r>
        <w:t>:</w:t>
      </w:r>
      <w:r w:rsidR="00474F67">
        <w:t xml:space="preserve"> </w:t>
      </w:r>
      <w:r w:rsidR="00D84975">
        <w:t>Emergency process</w:t>
      </w:r>
      <w:r w:rsidR="00672AE3">
        <w:t xml:space="preserve"> (</w:t>
      </w:r>
      <w:r w:rsidR="001A19E6">
        <w:t>t</w:t>
      </w:r>
      <w:r w:rsidR="0041190C">
        <w:t>utor</w:t>
      </w:r>
      <w:r w:rsidR="00672AE3">
        <w:t>)</w:t>
      </w:r>
    </w:p>
    <w:p w14:paraId="14F2984C" w14:textId="6236F7B6" w:rsidR="00D84975" w:rsidRDefault="00CA57FA" w:rsidP="006E1224">
      <w:pPr>
        <w:pStyle w:val="Normalnumberedlist"/>
      </w:pPr>
      <w:bookmarkStart w:id="0" w:name="_Hlk63415655"/>
      <w:r>
        <w:t>C</w:t>
      </w:r>
      <w:r w:rsidR="00D84975">
        <w:t xml:space="preserve">omplete the right-hand column </w:t>
      </w:r>
      <w:r>
        <w:t xml:space="preserve">in the table below, </w:t>
      </w:r>
      <w:bookmarkEnd w:id="0"/>
      <w:r w:rsidR="00D84975">
        <w:t xml:space="preserve">identifying the type of problem or injury that can occur from the emergency situation </w:t>
      </w:r>
      <w:r>
        <w:t>in</w:t>
      </w:r>
      <w:r w:rsidR="00D84975">
        <w:t xml:space="preserve"> the left</w:t>
      </w:r>
      <w:r w:rsidR="00BE7682">
        <w:t>-hand</w:t>
      </w:r>
      <w:r w:rsidR="00D84975">
        <w:t xml:space="preserve"> column.</w:t>
      </w:r>
    </w:p>
    <w:p w14:paraId="6EA688ED" w14:textId="77777777" w:rsidR="001A19E6" w:rsidRPr="00D84975" w:rsidRDefault="001A19E6" w:rsidP="00D84975"/>
    <w:tbl>
      <w:tblPr>
        <w:tblStyle w:val="TableGrid"/>
        <w:tblW w:w="0" w:type="auto"/>
        <w:tblLook w:val="04A0" w:firstRow="1" w:lastRow="0" w:firstColumn="1" w:lastColumn="0" w:noHBand="0" w:noVBand="1"/>
      </w:tblPr>
      <w:tblGrid>
        <w:gridCol w:w="1838"/>
        <w:gridCol w:w="7670"/>
      </w:tblGrid>
      <w:tr w:rsidR="00D84975" w:rsidRPr="002A7265" w14:paraId="36948EE2" w14:textId="77777777" w:rsidTr="00D84975">
        <w:tc>
          <w:tcPr>
            <w:tcW w:w="1838" w:type="dxa"/>
          </w:tcPr>
          <w:p w14:paraId="2FEB1B45" w14:textId="0591EB59"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r w:rsidRPr="002A7265">
              <w:rPr>
                <w:rFonts w:eastAsia="Times New Roman" w:cs="Arial"/>
                <w:b/>
                <w:bCs/>
                <w:color w:val="000000" w:themeColor="text1"/>
                <w:szCs w:val="22"/>
                <w:lang w:eastAsia="en-GB"/>
              </w:rPr>
              <w:t>Emergency</w:t>
            </w:r>
          </w:p>
        </w:tc>
        <w:tc>
          <w:tcPr>
            <w:tcW w:w="7670" w:type="dxa"/>
          </w:tcPr>
          <w:p w14:paraId="6981E0A8" w14:textId="59268633" w:rsidR="00D84975" w:rsidRPr="002A7265" w:rsidRDefault="00D84975" w:rsidP="00D84975">
            <w:pPr>
              <w:spacing w:before="100" w:beforeAutospacing="1" w:after="100" w:afterAutospacing="1" w:line="240" w:lineRule="auto"/>
              <w:rPr>
                <w:rFonts w:eastAsia="Times New Roman" w:cs="Arial"/>
                <w:b/>
                <w:bCs/>
                <w:color w:val="FF0000"/>
                <w:szCs w:val="22"/>
                <w:lang w:eastAsia="en-GB"/>
              </w:rPr>
            </w:pPr>
            <w:r w:rsidRPr="002A7265">
              <w:rPr>
                <w:rFonts w:eastAsia="Times New Roman" w:cs="Arial"/>
                <w:b/>
                <w:bCs/>
                <w:szCs w:val="22"/>
                <w:lang w:eastAsia="en-GB"/>
              </w:rPr>
              <w:t>Type of problem</w:t>
            </w:r>
          </w:p>
        </w:tc>
      </w:tr>
      <w:tr w:rsidR="00D84975" w:rsidRPr="002A7265" w14:paraId="766DC24E" w14:textId="77777777" w:rsidTr="00D84975">
        <w:tc>
          <w:tcPr>
            <w:tcW w:w="1838" w:type="dxa"/>
          </w:tcPr>
          <w:p w14:paraId="7C3A459F" w14:textId="76250839"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Tripping </w:t>
            </w:r>
          </w:p>
        </w:tc>
        <w:tc>
          <w:tcPr>
            <w:tcW w:w="7670" w:type="dxa"/>
          </w:tcPr>
          <w:p w14:paraId="628DD693" w14:textId="7217881F" w:rsidR="00D84975" w:rsidRPr="002A7265" w:rsidRDefault="00D84975" w:rsidP="00D84975">
            <w:pPr>
              <w:spacing w:before="100" w:beforeAutospacing="1" w:after="100" w:afterAutospacing="1" w:line="240" w:lineRule="auto"/>
              <w:rPr>
                <w:rFonts w:eastAsia="Times New Roman" w:cs="Arial"/>
                <w:color w:val="FF0000"/>
                <w:szCs w:val="22"/>
                <w:lang w:eastAsia="en-GB"/>
              </w:rPr>
            </w:pPr>
            <w:r w:rsidRPr="002A7265">
              <w:rPr>
                <w:rFonts w:eastAsia="Times New Roman" w:cs="Arial"/>
                <w:color w:val="FF0000"/>
                <w:szCs w:val="22"/>
                <w:lang w:eastAsia="en-GB"/>
              </w:rPr>
              <w:t xml:space="preserve">Leaving equipment and materials lying around can cause accidents, as can trailing cables and spilt water or oil. Some of these materials are also potential fire hazards. </w:t>
            </w:r>
          </w:p>
        </w:tc>
      </w:tr>
      <w:tr w:rsidR="00D84975" w:rsidRPr="002A7265" w14:paraId="7A5C2685" w14:textId="77777777" w:rsidTr="00D84975">
        <w:tc>
          <w:tcPr>
            <w:tcW w:w="1838" w:type="dxa"/>
          </w:tcPr>
          <w:p w14:paraId="74333AB3" w14:textId="77777777"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Chemical spills </w:t>
            </w:r>
          </w:p>
          <w:p w14:paraId="6BC422AB" w14:textId="77777777"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p>
        </w:tc>
        <w:tc>
          <w:tcPr>
            <w:tcW w:w="7670" w:type="dxa"/>
          </w:tcPr>
          <w:p w14:paraId="5E72EF88" w14:textId="512B0F15" w:rsidR="00D84975" w:rsidRPr="002A7265" w:rsidRDefault="00D84975" w:rsidP="00D84975">
            <w:pPr>
              <w:spacing w:before="100" w:beforeAutospacing="1" w:after="100" w:afterAutospacing="1" w:line="240" w:lineRule="auto"/>
              <w:rPr>
                <w:rFonts w:eastAsia="Times New Roman" w:cs="Arial"/>
                <w:color w:val="FF0000"/>
                <w:szCs w:val="22"/>
                <w:lang w:eastAsia="en-GB"/>
              </w:rPr>
            </w:pPr>
            <w:r w:rsidRPr="002A7265">
              <w:rPr>
                <w:rFonts w:eastAsia="Times New Roman" w:cs="Arial"/>
                <w:color w:val="FF0000"/>
                <w:szCs w:val="22"/>
                <w:lang w:eastAsia="en-GB"/>
              </w:rPr>
              <w:t xml:space="preserve">If the chemicals are not hazardous then they just need to be mopped up. But sometimes they do involve hazardous materials and there will be an existing plan on how to deal with them. A risk assessment will have been carried out. </w:t>
            </w:r>
          </w:p>
        </w:tc>
      </w:tr>
      <w:tr w:rsidR="00D84975" w:rsidRPr="002A7265" w14:paraId="03A2FC46" w14:textId="77777777" w:rsidTr="00D84975">
        <w:tc>
          <w:tcPr>
            <w:tcW w:w="1838" w:type="dxa"/>
          </w:tcPr>
          <w:p w14:paraId="1A3BB970" w14:textId="77777777"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Falls from height </w:t>
            </w:r>
          </w:p>
          <w:p w14:paraId="3C3EAEA8" w14:textId="77777777"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p>
        </w:tc>
        <w:tc>
          <w:tcPr>
            <w:tcW w:w="7670" w:type="dxa"/>
          </w:tcPr>
          <w:p w14:paraId="4BBF4410" w14:textId="6E17053D" w:rsidR="00D84975" w:rsidRPr="002A7265" w:rsidRDefault="00D84975" w:rsidP="00D84975">
            <w:pPr>
              <w:spacing w:before="100" w:beforeAutospacing="1" w:after="100" w:afterAutospacing="1" w:line="240" w:lineRule="auto"/>
              <w:rPr>
                <w:rFonts w:eastAsia="Times New Roman" w:cs="Arial"/>
                <w:color w:val="FF0000"/>
                <w:szCs w:val="22"/>
                <w:lang w:eastAsia="en-GB"/>
              </w:rPr>
            </w:pPr>
            <w:r w:rsidRPr="002A7265">
              <w:rPr>
                <w:rFonts w:eastAsia="Times New Roman" w:cs="Arial"/>
                <w:color w:val="FF0000"/>
                <w:szCs w:val="22"/>
                <w:lang w:eastAsia="en-GB"/>
              </w:rPr>
              <w:t xml:space="preserve">A fall even from a low height can cause serious injuries. Precautions need to be taken when working at height to avoid permanent injury. You should also consider falls into open excavations as falls from height. All the same precautions need to be in place to prevent a fall. </w:t>
            </w:r>
          </w:p>
        </w:tc>
      </w:tr>
      <w:tr w:rsidR="00D84975" w:rsidRPr="002A7265" w14:paraId="58A37D2E" w14:textId="77777777" w:rsidTr="00D84975">
        <w:tc>
          <w:tcPr>
            <w:tcW w:w="1838" w:type="dxa"/>
          </w:tcPr>
          <w:p w14:paraId="62FFF847" w14:textId="77777777"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Burns </w:t>
            </w:r>
          </w:p>
          <w:p w14:paraId="1EB4B078" w14:textId="77777777"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p>
        </w:tc>
        <w:tc>
          <w:tcPr>
            <w:tcW w:w="7670" w:type="dxa"/>
          </w:tcPr>
          <w:p w14:paraId="14E2B76D" w14:textId="794B52BE" w:rsidR="00D84975" w:rsidRPr="002A7265" w:rsidRDefault="00D84975" w:rsidP="00D84975">
            <w:pPr>
              <w:spacing w:before="100" w:beforeAutospacing="1" w:after="100" w:afterAutospacing="1" w:line="240" w:lineRule="auto"/>
              <w:rPr>
                <w:rFonts w:eastAsia="Times New Roman" w:cs="Arial"/>
                <w:color w:val="FF0000"/>
                <w:szCs w:val="22"/>
                <w:lang w:eastAsia="en-GB"/>
              </w:rPr>
            </w:pPr>
            <w:r w:rsidRPr="002A7265">
              <w:rPr>
                <w:rFonts w:eastAsia="Times New Roman" w:cs="Arial"/>
                <w:color w:val="FF0000"/>
                <w:szCs w:val="22"/>
                <w:lang w:eastAsia="en-GB"/>
              </w:rPr>
              <w:t xml:space="preserve">Burns can be caused not only by fires and heat but also </w:t>
            </w:r>
            <w:r w:rsidR="0078176B">
              <w:rPr>
                <w:rFonts w:eastAsia="Times New Roman" w:cs="Arial"/>
                <w:color w:val="FF0000"/>
                <w:szCs w:val="22"/>
                <w:lang w:eastAsia="en-GB"/>
              </w:rPr>
              <w:t>by</w:t>
            </w:r>
            <w:r w:rsidRPr="002A7265">
              <w:rPr>
                <w:rFonts w:eastAsia="Times New Roman" w:cs="Arial"/>
                <w:color w:val="FF0000"/>
                <w:szCs w:val="22"/>
                <w:lang w:eastAsia="en-GB"/>
              </w:rPr>
              <w:t xml:space="preserve"> chemicals and solvents. Electricity and wet concrete and cement</w:t>
            </w:r>
            <w:r w:rsidR="00CA57FA">
              <w:rPr>
                <w:rFonts w:eastAsia="Times New Roman" w:cs="Arial"/>
                <w:color w:val="FF0000"/>
                <w:szCs w:val="22"/>
                <w:lang w:eastAsia="en-GB"/>
              </w:rPr>
              <w:t xml:space="preserve"> </w:t>
            </w:r>
            <w:r w:rsidRPr="002A7265">
              <w:rPr>
                <w:rFonts w:eastAsia="Times New Roman" w:cs="Arial"/>
                <w:color w:val="FF0000"/>
                <w:szCs w:val="22"/>
                <w:lang w:eastAsia="en-GB"/>
              </w:rPr>
              <w:t xml:space="preserve">can also burn skin. PPE is often the best way to avoid these dangers. Sunburn is a common and uncomfortable form of burning and sunscreen should be made available. For example, keeping skin covered up will help to prevent sunburn. You might think a tan looks good, but it could lead to skin cancer. </w:t>
            </w:r>
          </w:p>
        </w:tc>
      </w:tr>
      <w:tr w:rsidR="00D84975" w:rsidRPr="002A7265" w14:paraId="60C9D551" w14:textId="77777777" w:rsidTr="00D84975">
        <w:tc>
          <w:tcPr>
            <w:tcW w:w="1838" w:type="dxa"/>
          </w:tcPr>
          <w:p w14:paraId="6867C260" w14:textId="77777777"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Electrical </w:t>
            </w:r>
          </w:p>
          <w:p w14:paraId="13062A7A" w14:textId="77777777"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p>
        </w:tc>
        <w:tc>
          <w:tcPr>
            <w:tcW w:w="7670" w:type="dxa"/>
          </w:tcPr>
          <w:p w14:paraId="6E9838D9" w14:textId="66B93C6F" w:rsidR="00D84975" w:rsidRPr="002A7265" w:rsidRDefault="00D84975" w:rsidP="00D84975">
            <w:pPr>
              <w:spacing w:before="100" w:beforeAutospacing="1" w:after="100" w:afterAutospacing="1" w:line="240" w:lineRule="auto"/>
              <w:rPr>
                <w:rFonts w:eastAsia="Times New Roman" w:cs="Arial"/>
                <w:color w:val="FF0000"/>
                <w:szCs w:val="22"/>
                <w:lang w:eastAsia="en-GB"/>
              </w:rPr>
            </w:pPr>
            <w:r w:rsidRPr="002A7265">
              <w:rPr>
                <w:rFonts w:eastAsia="Times New Roman" w:cs="Arial"/>
                <w:color w:val="FF0000"/>
                <w:szCs w:val="22"/>
                <w:lang w:eastAsia="en-GB"/>
              </w:rPr>
              <w:t xml:space="preserve">Electricity is hazardous and electric shocks can cause burns and muscle damage and can kill. </w:t>
            </w:r>
          </w:p>
        </w:tc>
      </w:tr>
      <w:tr w:rsidR="00D84975" w:rsidRPr="002A7265" w14:paraId="35844FE4" w14:textId="77777777" w:rsidTr="00D84975">
        <w:tc>
          <w:tcPr>
            <w:tcW w:w="1838" w:type="dxa"/>
          </w:tcPr>
          <w:p w14:paraId="70FC338A" w14:textId="77777777"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Exposure to hazardous substances </w:t>
            </w:r>
          </w:p>
          <w:p w14:paraId="3A096143" w14:textId="77777777"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p>
        </w:tc>
        <w:tc>
          <w:tcPr>
            <w:tcW w:w="7670" w:type="dxa"/>
          </w:tcPr>
          <w:p w14:paraId="14E52334" w14:textId="2931DDA1" w:rsidR="00D84975" w:rsidRPr="002A7265" w:rsidRDefault="00D84975" w:rsidP="00D84975">
            <w:pPr>
              <w:spacing w:before="100" w:beforeAutospacing="1" w:after="100" w:afterAutospacing="1" w:line="240" w:lineRule="auto"/>
              <w:rPr>
                <w:rFonts w:eastAsia="Times New Roman" w:cs="Arial"/>
                <w:color w:val="FF0000"/>
                <w:szCs w:val="22"/>
                <w:lang w:eastAsia="en-GB"/>
              </w:rPr>
            </w:pPr>
            <w:r w:rsidRPr="002A7265">
              <w:rPr>
                <w:rFonts w:eastAsia="Times New Roman" w:cs="Arial"/>
                <w:color w:val="FF0000"/>
                <w:szCs w:val="22"/>
                <w:lang w:eastAsia="en-GB"/>
              </w:rPr>
              <w:t xml:space="preserve">COSHH regulations identify hazardous substances and require them to be labelled. You should always follow the instructions when using them. </w:t>
            </w:r>
          </w:p>
        </w:tc>
      </w:tr>
      <w:tr w:rsidR="00D84975" w:rsidRPr="002A7265" w14:paraId="1F749E38" w14:textId="77777777" w:rsidTr="00D84975">
        <w:tc>
          <w:tcPr>
            <w:tcW w:w="1838" w:type="dxa"/>
          </w:tcPr>
          <w:p w14:paraId="3C6AB5F6" w14:textId="77777777" w:rsidR="00D84975" w:rsidRPr="002A7265" w:rsidRDefault="00D84975" w:rsidP="00D84975">
            <w:pPr>
              <w:spacing w:before="100" w:beforeAutospacing="1" w:after="100" w:afterAutospacing="1" w:line="240" w:lineRule="auto"/>
              <w:rPr>
                <w:rFonts w:eastAsia="Times New Roman" w:cs="Arial"/>
                <w:color w:val="000000" w:themeColor="text1"/>
                <w:szCs w:val="22"/>
                <w:lang w:eastAsia="en-GB"/>
              </w:rPr>
            </w:pPr>
            <w:r w:rsidRPr="002A7265">
              <w:rPr>
                <w:rFonts w:eastAsia="Times New Roman" w:cs="Arial"/>
                <w:b/>
                <w:bCs/>
                <w:color w:val="000000" w:themeColor="text1"/>
                <w:szCs w:val="22"/>
                <w:lang w:eastAsia="en-GB"/>
              </w:rPr>
              <w:t xml:space="preserve">Plant and vehicles </w:t>
            </w:r>
          </w:p>
          <w:p w14:paraId="2FF9BB0A" w14:textId="77777777" w:rsidR="00D84975" w:rsidRPr="002A7265" w:rsidRDefault="00D84975" w:rsidP="00D84975">
            <w:pPr>
              <w:spacing w:before="100" w:beforeAutospacing="1" w:after="100" w:afterAutospacing="1" w:line="240" w:lineRule="auto"/>
              <w:rPr>
                <w:rFonts w:eastAsia="Times New Roman" w:cs="Arial"/>
                <w:b/>
                <w:bCs/>
                <w:color w:val="000000" w:themeColor="text1"/>
                <w:szCs w:val="22"/>
                <w:lang w:eastAsia="en-GB"/>
              </w:rPr>
            </w:pPr>
          </w:p>
        </w:tc>
        <w:tc>
          <w:tcPr>
            <w:tcW w:w="7670" w:type="dxa"/>
          </w:tcPr>
          <w:p w14:paraId="1A8946FA" w14:textId="2E48E65F" w:rsidR="00D84975" w:rsidRPr="002A7265" w:rsidRDefault="00D84975" w:rsidP="00E40094">
            <w:pPr>
              <w:spacing w:before="100" w:beforeAutospacing="1" w:after="100" w:afterAutospacing="1" w:line="240" w:lineRule="auto"/>
              <w:rPr>
                <w:rFonts w:eastAsia="Times New Roman" w:cs="Arial"/>
                <w:b/>
                <w:bCs/>
                <w:color w:val="FF0000"/>
                <w:szCs w:val="22"/>
                <w:lang w:eastAsia="en-GB"/>
              </w:rPr>
            </w:pPr>
            <w:r w:rsidRPr="002A7265">
              <w:rPr>
                <w:rFonts w:eastAsia="Times New Roman" w:cs="Arial"/>
                <w:color w:val="FF0000"/>
                <w:szCs w:val="22"/>
                <w:lang w:eastAsia="en-GB"/>
              </w:rPr>
              <w:t>On busy sites there is always a danger from moving vehicles and heavy plant. Although many are fitted with reversing alarms, it may not be easy to hear them over other machinery and equipment. You should always ensure you are not blocking routes or exits. Designated walkways separate site traffic and pedestrians – this includes workers who are walking around the site. Crossing points should be in place for ease of movement on site.</w:t>
            </w:r>
          </w:p>
        </w:tc>
      </w:tr>
    </w:tbl>
    <w:p w14:paraId="422ECF9F" w14:textId="1B4218EB" w:rsidR="00E05A3D" w:rsidRPr="00D84975" w:rsidRDefault="00E05A3D" w:rsidP="00C40649">
      <w:pPr>
        <w:rPr>
          <w:rFonts w:cs="Arial"/>
          <w:bCs/>
          <w:color w:val="000000" w:themeColor="text1"/>
          <w:sz w:val="24"/>
        </w:rPr>
      </w:pPr>
    </w:p>
    <w:sectPr w:rsidR="00E05A3D" w:rsidRPr="00D84975"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6D0940" w14:textId="77777777" w:rsidR="008A00F4" w:rsidRDefault="008A00F4">
      <w:pPr>
        <w:spacing w:before="0" w:after="0"/>
      </w:pPr>
      <w:r>
        <w:separator/>
      </w:r>
    </w:p>
  </w:endnote>
  <w:endnote w:type="continuationSeparator" w:id="0">
    <w:p w14:paraId="5CED631E" w14:textId="77777777" w:rsidR="008A00F4" w:rsidRDefault="008A00F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27955319" w:rsidR="00110217" w:rsidRPr="00F03E33" w:rsidRDefault="00F158F4"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2F1266" w14:textId="77777777" w:rsidR="008A00F4" w:rsidRDefault="008A00F4">
      <w:pPr>
        <w:spacing w:before="0" w:after="0"/>
      </w:pPr>
      <w:r>
        <w:separator/>
      </w:r>
    </w:p>
  </w:footnote>
  <w:footnote w:type="continuationSeparator" w:id="0">
    <w:p w14:paraId="56B30159" w14:textId="77777777" w:rsidR="008A00F4" w:rsidRDefault="008A00F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298FFBF0"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1A19E6">
      <w:rPr>
        <w:b/>
        <w:bCs/>
        <w:sz w:val="28"/>
        <w:szCs w:val="28"/>
      </w:rPr>
      <w:t>Building</w:t>
    </w:r>
  </w:p>
  <w:p w14:paraId="13C0EB6D" w14:textId="26BACF0B" w:rsidR="001A19E6" w:rsidRPr="00D42CEB" w:rsidRDefault="001A19E6" w:rsidP="00F03E33">
    <w:pPr>
      <w:tabs>
        <w:tab w:val="left" w:pos="12572"/>
      </w:tabs>
      <w:spacing w:before="0" w:after="0" w:line="360" w:lineRule="exact"/>
      <w:rPr>
        <w:b/>
        <w:bCs/>
        <w:sz w:val="28"/>
        <w:szCs w:val="28"/>
      </w:rPr>
    </w:pPr>
    <w:r>
      <w:rPr>
        <w:b/>
        <w:bCs/>
        <w:sz w:val="28"/>
        <w:szCs w:val="28"/>
      </w:rPr>
      <w:t>Services Engineering</w:t>
    </w:r>
  </w:p>
  <w:p w14:paraId="7C7EE0C3" w14:textId="78DFA92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8A2009">
      <w:rPr>
        <w:color w:val="0077E3"/>
        <w:sz w:val="24"/>
        <w:szCs w:val="28"/>
      </w:rPr>
      <w:t>105</w:t>
    </w:r>
    <w:r w:rsidRPr="00AC3BFD">
      <w:rPr>
        <w:color w:val="0077E3"/>
        <w:sz w:val="24"/>
        <w:szCs w:val="28"/>
      </w:rPr>
      <w:t xml:space="preserve"> </w:t>
    </w:r>
    <w:r>
      <w:rPr>
        <w:color w:val="0077E3"/>
        <w:sz w:val="24"/>
        <w:szCs w:val="28"/>
      </w:rPr>
      <w:t>Worksheet 1</w:t>
    </w:r>
    <w:r w:rsidR="008A2009">
      <w:rPr>
        <w:color w:val="0077E3"/>
        <w:sz w:val="24"/>
        <w:szCs w:val="28"/>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AF60188"/>
    <w:multiLevelType w:val="hybridMultilevel"/>
    <w:tmpl w:val="FE56AF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0"/>
  </w:num>
  <w:num w:numId="2">
    <w:abstractNumId w:val="1"/>
  </w:num>
  <w:num w:numId="3">
    <w:abstractNumId w:val="2"/>
  </w:num>
  <w:num w:numId="4">
    <w:abstractNumId w:val="5"/>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04AEC"/>
    <w:rsid w:val="00082C62"/>
    <w:rsid w:val="000B231F"/>
    <w:rsid w:val="000C1B90"/>
    <w:rsid w:val="000E194B"/>
    <w:rsid w:val="00110217"/>
    <w:rsid w:val="001259FF"/>
    <w:rsid w:val="0014141E"/>
    <w:rsid w:val="00152AC3"/>
    <w:rsid w:val="00156AF3"/>
    <w:rsid w:val="0019491D"/>
    <w:rsid w:val="001A19E6"/>
    <w:rsid w:val="001C1D69"/>
    <w:rsid w:val="001D2A06"/>
    <w:rsid w:val="001F74AD"/>
    <w:rsid w:val="0020096C"/>
    <w:rsid w:val="00243CCB"/>
    <w:rsid w:val="002A7265"/>
    <w:rsid w:val="002C4032"/>
    <w:rsid w:val="002D07A8"/>
    <w:rsid w:val="003405EA"/>
    <w:rsid w:val="003769E1"/>
    <w:rsid w:val="00404B31"/>
    <w:rsid w:val="0041190C"/>
    <w:rsid w:val="004145CA"/>
    <w:rsid w:val="00433A94"/>
    <w:rsid w:val="00474F67"/>
    <w:rsid w:val="00484E14"/>
    <w:rsid w:val="0048500D"/>
    <w:rsid w:val="004A2174"/>
    <w:rsid w:val="004D0309"/>
    <w:rsid w:val="00524E1B"/>
    <w:rsid w:val="005F1A1B"/>
    <w:rsid w:val="005F7D9A"/>
    <w:rsid w:val="006135C0"/>
    <w:rsid w:val="00647B26"/>
    <w:rsid w:val="006642FD"/>
    <w:rsid w:val="00672AE3"/>
    <w:rsid w:val="006807B0"/>
    <w:rsid w:val="00691B95"/>
    <w:rsid w:val="006B798A"/>
    <w:rsid w:val="006D3AA3"/>
    <w:rsid w:val="006D4994"/>
    <w:rsid w:val="006E1028"/>
    <w:rsid w:val="006E1224"/>
    <w:rsid w:val="006E19C2"/>
    <w:rsid w:val="006F7BAF"/>
    <w:rsid w:val="0077434A"/>
    <w:rsid w:val="0078176B"/>
    <w:rsid w:val="00796699"/>
    <w:rsid w:val="00797FA7"/>
    <w:rsid w:val="007990E9"/>
    <w:rsid w:val="008051BF"/>
    <w:rsid w:val="00806A2E"/>
    <w:rsid w:val="00832AD4"/>
    <w:rsid w:val="008768C0"/>
    <w:rsid w:val="008A00F4"/>
    <w:rsid w:val="008A2009"/>
    <w:rsid w:val="008C1F1C"/>
    <w:rsid w:val="008D47A6"/>
    <w:rsid w:val="00930403"/>
    <w:rsid w:val="00937EB1"/>
    <w:rsid w:val="00963B2E"/>
    <w:rsid w:val="00981A5E"/>
    <w:rsid w:val="009975A0"/>
    <w:rsid w:val="009C5C6E"/>
    <w:rsid w:val="009F5CD6"/>
    <w:rsid w:val="00A2454C"/>
    <w:rsid w:val="00A60089"/>
    <w:rsid w:val="00A70C46"/>
    <w:rsid w:val="00A90E92"/>
    <w:rsid w:val="00A95D7C"/>
    <w:rsid w:val="00AA0E5F"/>
    <w:rsid w:val="00AE245C"/>
    <w:rsid w:val="00B054EC"/>
    <w:rsid w:val="00B261C8"/>
    <w:rsid w:val="00BB1E97"/>
    <w:rsid w:val="00BB281F"/>
    <w:rsid w:val="00BE2C21"/>
    <w:rsid w:val="00BE4474"/>
    <w:rsid w:val="00BE7682"/>
    <w:rsid w:val="00C01D20"/>
    <w:rsid w:val="00C202BF"/>
    <w:rsid w:val="00C3686C"/>
    <w:rsid w:val="00C40649"/>
    <w:rsid w:val="00C6399E"/>
    <w:rsid w:val="00C76408"/>
    <w:rsid w:val="00C858D7"/>
    <w:rsid w:val="00CA57FA"/>
    <w:rsid w:val="00CD5BB4"/>
    <w:rsid w:val="00D04D79"/>
    <w:rsid w:val="00D073BC"/>
    <w:rsid w:val="00D43A10"/>
    <w:rsid w:val="00D56B82"/>
    <w:rsid w:val="00D61B83"/>
    <w:rsid w:val="00D8173D"/>
    <w:rsid w:val="00D84975"/>
    <w:rsid w:val="00DA2485"/>
    <w:rsid w:val="00DE29A8"/>
    <w:rsid w:val="00E05A3D"/>
    <w:rsid w:val="00E40094"/>
    <w:rsid w:val="00EA5EBD"/>
    <w:rsid w:val="00F03E33"/>
    <w:rsid w:val="00F15749"/>
    <w:rsid w:val="00F158F4"/>
    <w:rsid w:val="00F42A36"/>
    <w:rsid w:val="00F53678"/>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5"/>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5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639723837">
      <w:bodyDiv w:val="1"/>
      <w:marLeft w:val="0"/>
      <w:marRight w:val="0"/>
      <w:marTop w:val="0"/>
      <w:marBottom w:val="0"/>
      <w:divBdr>
        <w:top w:val="none" w:sz="0" w:space="0" w:color="auto"/>
        <w:left w:val="none" w:sz="0" w:space="0" w:color="auto"/>
        <w:bottom w:val="none" w:sz="0" w:space="0" w:color="auto"/>
        <w:right w:val="none" w:sz="0" w:space="0" w:color="auto"/>
      </w:divBdr>
      <w:divsChild>
        <w:div w:id="1614511257">
          <w:marLeft w:val="0"/>
          <w:marRight w:val="0"/>
          <w:marTop w:val="0"/>
          <w:marBottom w:val="0"/>
          <w:divBdr>
            <w:top w:val="none" w:sz="0" w:space="0" w:color="auto"/>
            <w:left w:val="none" w:sz="0" w:space="0" w:color="auto"/>
            <w:bottom w:val="none" w:sz="0" w:space="0" w:color="auto"/>
            <w:right w:val="none" w:sz="0" w:space="0" w:color="auto"/>
          </w:divBdr>
          <w:divsChild>
            <w:div w:id="123475768">
              <w:marLeft w:val="0"/>
              <w:marRight w:val="0"/>
              <w:marTop w:val="0"/>
              <w:marBottom w:val="0"/>
              <w:divBdr>
                <w:top w:val="none" w:sz="0" w:space="0" w:color="auto"/>
                <w:left w:val="none" w:sz="0" w:space="0" w:color="auto"/>
                <w:bottom w:val="none" w:sz="0" w:space="0" w:color="auto"/>
                <w:right w:val="none" w:sz="0" w:space="0" w:color="auto"/>
              </w:divBdr>
              <w:divsChild>
                <w:div w:id="1265579492">
                  <w:marLeft w:val="0"/>
                  <w:marRight w:val="0"/>
                  <w:marTop w:val="0"/>
                  <w:marBottom w:val="0"/>
                  <w:divBdr>
                    <w:top w:val="none" w:sz="0" w:space="0" w:color="auto"/>
                    <w:left w:val="none" w:sz="0" w:space="0" w:color="auto"/>
                    <w:bottom w:val="none" w:sz="0" w:space="0" w:color="auto"/>
                    <w:right w:val="none" w:sz="0" w:space="0" w:color="auto"/>
                  </w:divBdr>
                  <w:divsChild>
                    <w:div w:id="44350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12</cp:revision>
  <cp:lastPrinted>2013-05-15T12:05:00Z</cp:lastPrinted>
  <dcterms:created xsi:type="dcterms:W3CDTF">2020-06-10T11:07:00Z</dcterms:created>
  <dcterms:modified xsi:type="dcterms:W3CDTF">2021-03-03T16:03:00Z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