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FCB48" w14:textId="1D6E134D" w:rsidR="00474F67" w:rsidRPr="007F05E6" w:rsidRDefault="00474F67" w:rsidP="00474F67">
      <w:pPr>
        <w:pStyle w:val="Unittitle"/>
      </w:pPr>
      <w:r w:rsidRPr="007051BD">
        <w:t xml:space="preserve">Unit </w:t>
      </w:r>
      <w:r w:rsidR="000953AE">
        <w:t>105</w:t>
      </w:r>
      <w:r w:rsidRPr="007051BD">
        <w:t xml:space="preserve">: </w:t>
      </w:r>
      <w:r w:rsidR="001259FF" w:rsidRPr="001259FF">
        <w:t xml:space="preserve">Protecting </w:t>
      </w:r>
      <w:r w:rsidR="00AE13D5">
        <w:t>h</w:t>
      </w:r>
      <w:r w:rsidR="001259FF" w:rsidRPr="001259FF">
        <w:t xml:space="preserve">ealth, </w:t>
      </w:r>
      <w:r w:rsidR="00AE13D5">
        <w:t>s</w:t>
      </w:r>
      <w:r w:rsidR="001259FF" w:rsidRPr="001259FF">
        <w:t xml:space="preserve">afety and the </w:t>
      </w:r>
      <w:r w:rsidR="00AE13D5">
        <w:t>e</w:t>
      </w:r>
      <w:r w:rsidR="001259FF" w:rsidRPr="001259FF">
        <w:t xml:space="preserve">nvironment </w:t>
      </w:r>
      <w:r w:rsidR="00AE13D5">
        <w:t>w</w:t>
      </w:r>
      <w:r w:rsidR="001259FF" w:rsidRPr="001259FF">
        <w:t xml:space="preserve">hen </w:t>
      </w:r>
      <w:r w:rsidR="00AE13D5">
        <w:t>w</w:t>
      </w:r>
      <w:r w:rsidR="001259FF" w:rsidRPr="001259FF">
        <w:t xml:space="preserve">orking in the </w:t>
      </w:r>
      <w:r w:rsidR="00AE13D5">
        <w:t>c</w:t>
      </w:r>
      <w:r w:rsidR="001259FF" w:rsidRPr="001259FF">
        <w:t xml:space="preserve">onstruction and </w:t>
      </w:r>
      <w:r w:rsidR="00AE13D5">
        <w:t>b</w:t>
      </w:r>
      <w:r w:rsidR="001259FF" w:rsidRPr="001259FF">
        <w:t xml:space="preserve">uilt </w:t>
      </w:r>
      <w:r w:rsidR="00AE13D5">
        <w:t>e</w:t>
      </w:r>
      <w:r w:rsidR="001259FF" w:rsidRPr="001259FF">
        <w:t xml:space="preserve">nvironment </w:t>
      </w:r>
      <w:r w:rsidR="00AE13D5">
        <w:t>s</w:t>
      </w:r>
      <w:r w:rsidR="001259FF" w:rsidRPr="001259FF">
        <w:t>ector</w:t>
      </w:r>
    </w:p>
    <w:p w14:paraId="1F0652D0" w14:textId="19B5D2B5" w:rsidR="001259FF" w:rsidRDefault="00AA0E5F" w:rsidP="00A60089">
      <w:pPr>
        <w:pStyle w:val="Heading1"/>
      </w:pPr>
      <w:r>
        <w:t>Worksheet</w:t>
      </w:r>
      <w:r w:rsidR="000953AE">
        <w:t xml:space="preserve"> 21</w:t>
      </w:r>
      <w:r>
        <w:t>:</w:t>
      </w:r>
      <w:r w:rsidR="00474F67">
        <w:t xml:space="preserve"> </w:t>
      </w:r>
      <w:r w:rsidR="007D123E">
        <w:t>Confined spaces</w:t>
      </w:r>
      <w:r w:rsidR="00672AE3">
        <w:t xml:space="preserve"> </w:t>
      </w:r>
      <w:r w:rsidR="00B05507">
        <w:t>(</w:t>
      </w:r>
      <w:r w:rsidR="00AE13D5">
        <w:t>t</w:t>
      </w:r>
      <w:r w:rsidR="009F080E">
        <w:t>utor</w:t>
      </w:r>
      <w:r w:rsidR="00672AE3">
        <w:t>)</w:t>
      </w:r>
    </w:p>
    <w:p w14:paraId="3A68F870" w14:textId="216D5BEF" w:rsidR="00B05507" w:rsidRDefault="00C40649" w:rsidP="00C40649">
      <w:r>
        <w:t xml:space="preserve">When working on site you must ensure that </w:t>
      </w:r>
      <w:r w:rsidR="00604464">
        <w:t xml:space="preserve">you are conducting yourself in a safe manner and </w:t>
      </w:r>
      <w:r w:rsidR="005E54D3">
        <w:t xml:space="preserve">that </w:t>
      </w:r>
      <w:r w:rsidR="00604464">
        <w:t>you are maintaining a safe site at all times.</w:t>
      </w:r>
      <w:r w:rsidR="00DA5BC8">
        <w:t xml:space="preserve"> </w:t>
      </w:r>
      <w:r w:rsidR="00B05507">
        <w:t>Working in and around objects, materials, chemicals, gases and power can pose problem</w:t>
      </w:r>
      <w:r w:rsidR="005E54D3">
        <w:t>s</w:t>
      </w:r>
      <w:r w:rsidR="00B05507">
        <w:t>.</w:t>
      </w:r>
    </w:p>
    <w:p w14:paraId="218F4CBD" w14:textId="52C82D7E" w:rsidR="00AE13D5" w:rsidRDefault="00B05507" w:rsidP="00A43E80">
      <w:pPr>
        <w:pStyle w:val="Normalnumberedlist"/>
      </w:pPr>
      <w:r>
        <w:t>Look at the following potential hazards on a site and identify the problem.</w:t>
      </w:r>
    </w:p>
    <w:p w14:paraId="64861E47" w14:textId="77777777" w:rsidR="009A3A42" w:rsidRDefault="009A3A42" w:rsidP="009A3A42">
      <w:pPr>
        <w:pStyle w:val="Normalnumberedlist"/>
        <w:numPr>
          <w:ilvl w:val="0"/>
          <w:numId w:val="0"/>
        </w:numPr>
        <w:ind w:left="357" w:hanging="357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7245"/>
      </w:tblGrid>
      <w:tr w:rsidR="00604464" w:rsidRPr="00AE13D5" w14:paraId="2CDAC1C9" w14:textId="77777777" w:rsidTr="00AE13D5">
        <w:trPr>
          <w:tblHeader/>
        </w:trPr>
        <w:tc>
          <w:tcPr>
            <w:tcW w:w="2263" w:type="dxa"/>
          </w:tcPr>
          <w:p w14:paraId="360A022E" w14:textId="77777777" w:rsidR="00604464" w:rsidRPr="00AE13D5" w:rsidRDefault="00604464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Name</w:t>
            </w:r>
          </w:p>
        </w:tc>
        <w:tc>
          <w:tcPr>
            <w:tcW w:w="7245" w:type="dxa"/>
          </w:tcPr>
          <w:p w14:paraId="39026B4A" w14:textId="41D70C2A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Problem</w:t>
            </w:r>
          </w:p>
        </w:tc>
      </w:tr>
      <w:tr w:rsidR="00604464" w14:paraId="234ED91A" w14:textId="77777777" w:rsidTr="00AE13D5">
        <w:tc>
          <w:tcPr>
            <w:tcW w:w="2263" w:type="dxa"/>
          </w:tcPr>
          <w:p w14:paraId="5F4915EF" w14:textId="6484E95A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Gas</w:t>
            </w:r>
          </w:p>
        </w:tc>
        <w:tc>
          <w:tcPr>
            <w:tcW w:w="7245" w:type="dxa"/>
          </w:tcPr>
          <w:p w14:paraId="43F1010A" w14:textId="77777777" w:rsidR="00B05507" w:rsidRDefault="00053467" w:rsidP="00053467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Working in and around gas is very dangerous</w:t>
            </w:r>
            <w:r w:rsidR="00D37B65">
              <w:rPr>
                <w:rFonts w:cs="Arial"/>
                <w:color w:val="FF0000"/>
              </w:rPr>
              <w:t>. E</w:t>
            </w:r>
            <w:r w:rsidRPr="00AE13D5">
              <w:rPr>
                <w:rFonts w:cs="Arial"/>
                <w:color w:val="FF0000"/>
              </w:rPr>
              <w:t>nsure that no naked flames are present</w:t>
            </w:r>
            <w:r w:rsidR="00D37B65">
              <w:rPr>
                <w:rFonts w:cs="Arial"/>
                <w:color w:val="FF0000"/>
              </w:rPr>
              <w:t>;</w:t>
            </w:r>
            <w:r w:rsidRPr="00AE13D5">
              <w:rPr>
                <w:rFonts w:cs="Arial"/>
                <w:color w:val="FF0000"/>
              </w:rPr>
              <w:t xml:space="preserve"> ensure that safe permit is in place if needed. Gas can have the potential to cause a fire and explosions.</w:t>
            </w:r>
          </w:p>
          <w:p w14:paraId="24C48C80" w14:textId="08446C07" w:rsidR="009A3A42" w:rsidRPr="00AE13D5" w:rsidRDefault="009A3A42" w:rsidP="00053467">
            <w:pPr>
              <w:rPr>
                <w:rFonts w:cs="Arial"/>
                <w:color w:val="FF0000"/>
              </w:rPr>
            </w:pPr>
          </w:p>
        </w:tc>
      </w:tr>
      <w:tr w:rsidR="00604464" w14:paraId="2DBD8961" w14:textId="77777777" w:rsidTr="00AE13D5">
        <w:tc>
          <w:tcPr>
            <w:tcW w:w="2263" w:type="dxa"/>
          </w:tcPr>
          <w:p w14:paraId="22EB82AE" w14:textId="6084D0FD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Electricity</w:t>
            </w:r>
          </w:p>
        </w:tc>
        <w:tc>
          <w:tcPr>
            <w:tcW w:w="7245" w:type="dxa"/>
          </w:tcPr>
          <w:p w14:paraId="1542D47A" w14:textId="7132891B" w:rsidR="00B05507" w:rsidRDefault="00053467" w:rsidP="00C40649">
            <w:pPr>
              <w:rPr>
                <w:rFonts w:cs="Arial"/>
                <w:color w:val="FF0000"/>
              </w:rPr>
            </w:pPr>
            <w:bookmarkStart w:id="0" w:name="_Hlk63418644"/>
            <w:r w:rsidRPr="00AE13D5">
              <w:rPr>
                <w:rFonts w:cs="Arial"/>
                <w:color w:val="FF0000"/>
              </w:rPr>
              <w:t>Working in and around electricity is very dangerous</w:t>
            </w:r>
            <w:r w:rsidR="00D37B65">
              <w:rPr>
                <w:rFonts w:cs="Arial"/>
                <w:color w:val="FF0000"/>
              </w:rPr>
              <w:t>. E</w:t>
            </w:r>
            <w:r w:rsidRPr="00AE13D5">
              <w:rPr>
                <w:rFonts w:cs="Arial"/>
                <w:color w:val="FF0000"/>
              </w:rPr>
              <w:t>nsure that cables are</w:t>
            </w:r>
            <w:r w:rsidR="000F77CA">
              <w:rPr>
                <w:rFonts w:cs="Arial"/>
                <w:color w:val="FF0000"/>
              </w:rPr>
              <w:t xml:space="preserve"> n</w:t>
            </w:r>
            <w:r w:rsidR="001A5FF6">
              <w:rPr>
                <w:rFonts w:cs="Arial"/>
                <w:color w:val="FF0000"/>
              </w:rPr>
              <w:t>ot</w:t>
            </w:r>
            <w:r w:rsidRPr="00AE13D5">
              <w:rPr>
                <w:rFonts w:cs="Arial"/>
                <w:color w:val="FF0000"/>
              </w:rPr>
              <w:t xml:space="preserve"> left bare</w:t>
            </w:r>
            <w:bookmarkEnd w:id="0"/>
            <w:r w:rsidR="00D37B65">
              <w:rPr>
                <w:rFonts w:cs="Arial"/>
                <w:color w:val="FF0000"/>
              </w:rPr>
              <w:t>;</w:t>
            </w:r>
            <w:r w:rsidRPr="00AE13D5">
              <w:rPr>
                <w:rFonts w:cs="Arial"/>
                <w:color w:val="FF0000"/>
              </w:rPr>
              <w:t xml:space="preserve"> ensure that safe permit is in place if needed. </w:t>
            </w:r>
            <w:r w:rsidR="00AA1F70" w:rsidRPr="00AE13D5">
              <w:rPr>
                <w:rFonts w:cs="Arial"/>
                <w:color w:val="FF0000"/>
              </w:rPr>
              <w:t>Electricity</w:t>
            </w:r>
            <w:r w:rsidRPr="00AE13D5">
              <w:rPr>
                <w:rFonts w:cs="Arial"/>
                <w:color w:val="FF0000"/>
              </w:rPr>
              <w:t xml:space="preserve"> can have the potential to cause a fire and explosions.</w:t>
            </w:r>
          </w:p>
          <w:p w14:paraId="0219AAE3" w14:textId="0FC1B4D4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16931DE7" w14:textId="77777777" w:rsidTr="00AE13D5">
        <w:tc>
          <w:tcPr>
            <w:tcW w:w="2263" w:type="dxa"/>
          </w:tcPr>
          <w:p w14:paraId="5B4C0995" w14:textId="0DF68AE3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Water (</w:t>
            </w:r>
            <w:r w:rsidR="004650A7">
              <w:rPr>
                <w:rFonts w:cs="Arial"/>
                <w:b/>
                <w:bCs/>
              </w:rPr>
              <w:t>f</w:t>
            </w:r>
            <w:r w:rsidRPr="00AE13D5">
              <w:rPr>
                <w:rFonts w:cs="Arial"/>
                <w:b/>
                <w:bCs/>
              </w:rPr>
              <w:t>resh)</w:t>
            </w:r>
          </w:p>
        </w:tc>
        <w:tc>
          <w:tcPr>
            <w:tcW w:w="7245" w:type="dxa"/>
          </w:tcPr>
          <w:p w14:paraId="56AA2688" w14:textId="74C3D5E1" w:rsidR="00625979" w:rsidRPr="00AE13D5" w:rsidRDefault="00053467" w:rsidP="00C40649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Working in and around water is very dangerous</w:t>
            </w:r>
            <w:r w:rsidR="00D37B65">
              <w:rPr>
                <w:rFonts w:cs="Arial"/>
                <w:color w:val="FF0000"/>
              </w:rPr>
              <w:t>.</w:t>
            </w:r>
            <w:r w:rsidRPr="00AE13D5">
              <w:rPr>
                <w:rFonts w:cs="Arial"/>
                <w:color w:val="FF0000"/>
              </w:rPr>
              <w:t xml:space="preserve"> </w:t>
            </w:r>
            <w:r w:rsidR="00D37B65">
              <w:rPr>
                <w:rFonts w:cs="Arial"/>
                <w:color w:val="FF0000"/>
              </w:rPr>
              <w:t>O</w:t>
            </w:r>
            <w:r w:rsidRPr="00AE13D5">
              <w:rPr>
                <w:rFonts w:cs="Arial"/>
                <w:color w:val="FF0000"/>
              </w:rPr>
              <w:t xml:space="preserve">pen pools or large water containers have the potential to cause drowning. </w:t>
            </w:r>
          </w:p>
          <w:p w14:paraId="69681DDB" w14:textId="726960F6" w:rsidR="00B05507" w:rsidRPr="00AE13D5" w:rsidRDefault="00053467" w:rsidP="00C40649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Safety equipment should always be on standby when working in and around water. Permits to work should also be requested for certain areas with ah high volume of water present.</w:t>
            </w:r>
          </w:p>
          <w:p w14:paraId="44B06F81" w14:textId="77777777" w:rsidR="00B05507" w:rsidRDefault="00053467" w:rsidP="00C40649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Flooding is also an area of concern if the water is not controlled properly which can cause secondary problems such as electrical damage which can cause a fire.</w:t>
            </w:r>
          </w:p>
          <w:p w14:paraId="3AA2E760" w14:textId="3FDE0D49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5DDBEF9C" w14:textId="77777777" w:rsidTr="00AE13D5">
        <w:tc>
          <w:tcPr>
            <w:tcW w:w="2263" w:type="dxa"/>
          </w:tcPr>
          <w:p w14:paraId="24EEDA19" w14:textId="0305ADB5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Water (waste)</w:t>
            </w:r>
          </w:p>
        </w:tc>
        <w:tc>
          <w:tcPr>
            <w:tcW w:w="7245" w:type="dxa"/>
          </w:tcPr>
          <w:p w14:paraId="3B4E4EE1" w14:textId="36E91B0A" w:rsidR="00053467" w:rsidRPr="00AE13D5" w:rsidRDefault="00053467" w:rsidP="00053467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Working in and around water is very dangerous</w:t>
            </w:r>
            <w:r w:rsidR="00D37B65">
              <w:rPr>
                <w:rFonts w:cs="Arial"/>
                <w:color w:val="FF0000"/>
              </w:rPr>
              <w:t>.</w:t>
            </w:r>
            <w:r w:rsidRPr="00AE13D5">
              <w:rPr>
                <w:rFonts w:cs="Arial"/>
                <w:color w:val="FF0000"/>
              </w:rPr>
              <w:t xml:space="preserve"> </w:t>
            </w:r>
            <w:r w:rsidR="00D37B65">
              <w:rPr>
                <w:rFonts w:cs="Arial"/>
                <w:color w:val="FF0000"/>
              </w:rPr>
              <w:t>O</w:t>
            </w:r>
            <w:r w:rsidRPr="00AE13D5">
              <w:rPr>
                <w:rFonts w:cs="Arial"/>
                <w:color w:val="FF0000"/>
              </w:rPr>
              <w:t xml:space="preserve">pen pools or large water containers have the potential to cause drowning. </w:t>
            </w:r>
          </w:p>
          <w:p w14:paraId="4634DA64" w14:textId="77777777" w:rsidR="00053467" w:rsidRPr="00AE13D5" w:rsidRDefault="00053467" w:rsidP="00053467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Safety equipment should always be on standby when working in and around water. Permits to work should also be requested for certain areas with ah high volume of water present.</w:t>
            </w:r>
          </w:p>
          <w:p w14:paraId="3C26FF15" w14:textId="77777777" w:rsidR="00B05507" w:rsidRDefault="00AA1F70" w:rsidP="00C40649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Wastewater</w:t>
            </w:r>
            <w:r w:rsidR="00053467" w:rsidRPr="00AE13D5">
              <w:rPr>
                <w:rFonts w:cs="Arial"/>
                <w:color w:val="FF0000"/>
              </w:rPr>
              <w:t xml:space="preserve"> in particul</w:t>
            </w:r>
            <w:r w:rsidR="005802AA" w:rsidRPr="00AE13D5">
              <w:rPr>
                <w:rFonts w:cs="Arial"/>
                <w:color w:val="FF0000"/>
              </w:rPr>
              <w:t>ar</w:t>
            </w:r>
            <w:r w:rsidR="00053467" w:rsidRPr="00AE13D5">
              <w:rPr>
                <w:rFonts w:cs="Arial"/>
                <w:color w:val="FF0000"/>
              </w:rPr>
              <w:t xml:space="preserve"> can carry harmful bacteria which can spread disease. </w:t>
            </w:r>
            <w:r w:rsidRPr="00AE13D5">
              <w:rPr>
                <w:rFonts w:cs="Arial"/>
                <w:color w:val="FF0000"/>
              </w:rPr>
              <w:t>Wastewater</w:t>
            </w:r>
            <w:r w:rsidR="00053467" w:rsidRPr="00AE13D5">
              <w:rPr>
                <w:rFonts w:cs="Arial"/>
                <w:color w:val="FF0000"/>
              </w:rPr>
              <w:t xml:space="preserve"> can cause lots of skin, </w:t>
            </w:r>
            <w:r w:rsidR="005802AA" w:rsidRPr="00AE13D5">
              <w:rPr>
                <w:rFonts w:cs="Arial"/>
                <w:color w:val="FF0000"/>
              </w:rPr>
              <w:t>breathing and internal problems.</w:t>
            </w:r>
          </w:p>
          <w:p w14:paraId="7A31A6E1" w14:textId="3FB2745E" w:rsidR="009A3A42" w:rsidRPr="00AE13D5" w:rsidRDefault="009A3A42" w:rsidP="00C40649">
            <w:pPr>
              <w:rPr>
                <w:rFonts w:cs="Arial"/>
                <w:color w:val="FF0000"/>
              </w:rPr>
            </w:pPr>
          </w:p>
        </w:tc>
      </w:tr>
      <w:tr w:rsidR="00604464" w14:paraId="620ABBB1" w14:textId="77777777" w:rsidTr="00AE13D5">
        <w:tc>
          <w:tcPr>
            <w:tcW w:w="2263" w:type="dxa"/>
          </w:tcPr>
          <w:p w14:paraId="598426D6" w14:textId="27AF70F9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Trenches</w:t>
            </w:r>
          </w:p>
        </w:tc>
        <w:tc>
          <w:tcPr>
            <w:tcW w:w="7245" w:type="dxa"/>
          </w:tcPr>
          <w:p w14:paraId="164AA007" w14:textId="77777777" w:rsidR="00B05507" w:rsidRDefault="005802AA" w:rsidP="005802AA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Open trenches have the potential to cause harm if they are not protected or controlled properly. Trench collapse, subsidence, or the worker falling into the trench</w:t>
            </w:r>
            <w:r w:rsidR="00D37B65">
              <w:rPr>
                <w:rFonts w:cs="Arial"/>
                <w:color w:val="FF0000"/>
              </w:rPr>
              <w:t>,</w:t>
            </w:r>
            <w:r w:rsidRPr="00AE13D5">
              <w:rPr>
                <w:rFonts w:cs="Arial"/>
                <w:color w:val="FF0000"/>
              </w:rPr>
              <w:t xml:space="preserve"> are all problems that can arise by poor management of the site and controlling the hazard.</w:t>
            </w:r>
          </w:p>
          <w:p w14:paraId="5931AEC6" w14:textId="3F14A6AA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  <w:tr w:rsidR="00604464" w14:paraId="1F277E3F" w14:textId="77777777" w:rsidTr="00AE13D5">
        <w:tc>
          <w:tcPr>
            <w:tcW w:w="2263" w:type="dxa"/>
          </w:tcPr>
          <w:p w14:paraId="50CF665E" w14:textId="573A6527" w:rsidR="00604464" w:rsidRPr="00AE13D5" w:rsidRDefault="00B05507" w:rsidP="00C40649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lastRenderedPageBreak/>
              <w:t>Confined space</w:t>
            </w:r>
          </w:p>
        </w:tc>
        <w:tc>
          <w:tcPr>
            <w:tcW w:w="7245" w:type="dxa"/>
          </w:tcPr>
          <w:p w14:paraId="721BB34C" w14:textId="77777777" w:rsidR="00B05507" w:rsidRDefault="005802AA" w:rsidP="005802AA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 xml:space="preserve">A confined space has the potential to cause the worker to faint or pass </w:t>
            </w:r>
            <w:r w:rsidR="00AA1F70" w:rsidRPr="00AE13D5">
              <w:rPr>
                <w:rFonts w:cs="Arial"/>
                <w:color w:val="FF0000"/>
              </w:rPr>
              <w:t>out if</w:t>
            </w:r>
            <w:r w:rsidRPr="00AE13D5">
              <w:rPr>
                <w:rFonts w:cs="Arial"/>
                <w:color w:val="FF0000"/>
              </w:rPr>
              <w:t xml:space="preserve"> there </w:t>
            </w:r>
            <w:r w:rsidR="00D37B65">
              <w:rPr>
                <w:rFonts w:cs="Arial"/>
                <w:color w:val="FF0000"/>
              </w:rPr>
              <w:t>are</w:t>
            </w:r>
            <w:r w:rsidRPr="00AE13D5">
              <w:rPr>
                <w:rFonts w:cs="Arial"/>
                <w:color w:val="FF0000"/>
              </w:rPr>
              <w:t xml:space="preserve"> chemicals or substances present in the confined space. Death by lack of oxygen can be a problem in a confined space.</w:t>
            </w:r>
          </w:p>
          <w:p w14:paraId="3F9701A9" w14:textId="47E9DEF8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  <w:tr w:rsidR="005802AA" w14:paraId="5AAF634A" w14:textId="77777777" w:rsidTr="00AE13D5">
        <w:tc>
          <w:tcPr>
            <w:tcW w:w="2263" w:type="dxa"/>
          </w:tcPr>
          <w:p w14:paraId="4CD04ACD" w14:textId="58D0BADA" w:rsidR="005802AA" w:rsidRPr="00AE13D5" w:rsidRDefault="005802AA" w:rsidP="005802AA">
            <w:pPr>
              <w:rPr>
                <w:rFonts w:cs="Arial"/>
                <w:b/>
                <w:bCs/>
              </w:rPr>
            </w:pPr>
            <w:r w:rsidRPr="00AE13D5">
              <w:rPr>
                <w:rFonts w:cs="Arial"/>
                <w:b/>
                <w:bCs/>
              </w:rPr>
              <w:t>Loft/</w:t>
            </w:r>
            <w:r w:rsidR="004650A7">
              <w:rPr>
                <w:rFonts w:cs="Arial"/>
                <w:b/>
                <w:bCs/>
              </w:rPr>
              <w:t>a</w:t>
            </w:r>
            <w:r w:rsidRPr="00AE13D5">
              <w:rPr>
                <w:rFonts w:cs="Arial"/>
                <w:b/>
                <w:bCs/>
              </w:rPr>
              <w:t>ttic space</w:t>
            </w:r>
          </w:p>
          <w:p w14:paraId="3DE77CA6" w14:textId="77777777" w:rsidR="005802AA" w:rsidRPr="00AE13D5" w:rsidRDefault="005802AA" w:rsidP="005802AA">
            <w:pPr>
              <w:rPr>
                <w:rFonts w:cs="Arial"/>
                <w:b/>
                <w:bCs/>
              </w:rPr>
            </w:pPr>
          </w:p>
          <w:p w14:paraId="2E144CE6" w14:textId="6DD27536" w:rsidR="005802AA" w:rsidRPr="00AE13D5" w:rsidRDefault="005802AA" w:rsidP="005802AA">
            <w:pPr>
              <w:rPr>
                <w:rFonts w:cs="Arial"/>
                <w:b/>
                <w:bCs/>
              </w:rPr>
            </w:pPr>
          </w:p>
        </w:tc>
        <w:tc>
          <w:tcPr>
            <w:tcW w:w="7245" w:type="dxa"/>
          </w:tcPr>
          <w:p w14:paraId="0B50629E" w14:textId="77777777" w:rsidR="005802AA" w:rsidRPr="00AE13D5" w:rsidRDefault="005802AA" w:rsidP="005802AA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A loft/attic space has the potential to cause the worker to fall from a height if t</w:t>
            </w:r>
            <w:r w:rsidR="00AA1F70" w:rsidRPr="00AE13D5">
              <w:rPr>
                <w:rFonts w:cs="Arial"/>
                <w:color w:val="FF0000"/>
              </w:rPr>
              <w:t>hey lose their balance or don’t have a firm grip on something.</w:t>
            </w:r>
          </w:p>
          <w:p w14:paraId="26B520F0" w14:textId="77777777" w:rsidR="00AA1F70" w:rsidRDefault="00AA1F70" w:rsidP="005802AA">
            <w:pPr>
              <w:rPr>
                <w:rFonts w:cs="Arial"/>
                <w:color w:val="FF0000"/>
              </w:rPr>
            </w:pPr>
            <w:r w:rsidRPr="00AE13D5">
              <w:rPr>
                <w:rFonts w:cs="Arial"/>
                <w:color w:val="FF0000"/>
              </w:rPr>
              <w:t>Loft spaces occasionally don’t have appropriate flooring or walkways and it</w:t>
            </w:r>
            <w:r w:rsidR="00D37B65">
              <w:rPr>
                <w:rFonts w:cs="Arial"/>
                <w:color w:val="FF0000"/>
              </w:rPr>
              <w:t xml:space="preserve"> i</w:t>
            </w:r>
            <w:r w:rsidRPr="00AE13D5">
              <w:rPr>
                <w:rFonts w:cs="Arial"/>
                <w:color w:val="FF0000"/>
              </w:rPr>
              <w:t>s difficult for the user to manoeuvre safely around the area.</w:t>
            </w:r>
          </w:p>
          <w:p w14:paraId="5BD6CE26" w14:textId="2BBA5755" w:rsidR="009A3A42" w:rsidRPr="00AE13D5" w:rsidRDefault="009A3A42" w:rsidP="005802AA">
            <w:pPr>
              <w:rPr>
                <w:rFonts w:cs="Arial"/>
                <w:color w:val="FF0000"/>
              </w:rPr>
            </w:pPr>
          </w:p>
        </w:tc>
      </w:tr>
    </w:tbl>
    <w:p w14:paraId="039EFC77" w14:textId="77777777" w:rsidR="003212C4" w:rsidRDefault="003212C4" w:rsidP="00C40649">
      <w:pPr>
        <w:rPr>
          <w:rFonts w:cs="Arial"/>
          <w:b/>
        </w:rPr>
      </w:pPr>
    </w:p>
    <w:p w14:paraId="0548268B" w14:textId="77777777" w:rsidR="003212C4" w:rsidRPr="003212C4" w:rsidRDefault="003212C4" w:rsidP="00C40649">
      <w:pPr>
        <w:rPr>
          <w:rFonts w:cs="Arial"/>
          <w:b/>
        </w:rPr>
      </w:pPr>
    </w:p>
    <w:sectPr w:rsidR="003212C4" w:rsidRPr="003212C4" w:rsidSect="00F03E3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9C330" w14:textId="77777777" w:rsidR="00AA07CE" w:rsidRDefault="00AA07CE">
      <w:pPr>
        <w:spacing w:before="0" w:after="0"/>
      </w:pPr>
      <w:r>
        <w:separator/>
      </w:r>
    </w:p>
  </w:endnote>
  <w:endnote w:type="continuationSeparator" w:id="0">
    <w:p w14:paraId="3A513B70" w14:textId="77777777" w:rsidR="00AA07CE" w:rsidRDefault="00AA07C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CE2758" w14:textId="77777777" w:rsidR="00AE13D5" w:rsidRDefault="00AE13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A9173" w14:textId="6F314782" w:rsidR="00110217" w:rsidRPr="00F03E33" w:rsidRDefault="00AE13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r w:rsidR="00AA07CE">
      <w:fldChar w:fldCharType="begin"/>
    </w:r>
    <w:r w:rsidR="00AA07CE">
      <w:instrText>NUMPAGES   \* MERGEFORMAT</w:instrText>
    </w:r>
    <w:r w:rsidR="00AA07CE">
      <w:fldChar w:fldCharType="separate"/>
    </w:r>
    <w:r w:rsidR="00F03E33">
      <w:t>1</w:t>
    </w:r>
    <w:r w:rsidR="00AA07CE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FCB4FB" w14:textId="77777777" w:rsidR="00AE13D5" w:rsidRDefault="00AE13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3ED631" w14:textId="77777777" w:rsidR="00AA07CE" w:rsidRDefault="00AA07CE">
      <w:pPr>
        <w:spacing w:before="0" w:after="0"/>
      </w:pPr>
      <w:r>
        <w:separator/>
      </w:r>
    </w:p>
  </w:footnote>
  <w:footnote w:type="continuationSeparator" w:id="0">
    <w:p w14:paraId="5E83A3E7" w14:textId="77777777" w:rsidR="00AA07CE" w:rsidRDefault="00AA07C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7309EB" w14:textId="77777777" w:rsidR="00AE13D5" w:rsidRDefault="00AE13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3C8F6" w14:textId="09F902FC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AE13D5">
      <w:rPr>
        <w:b/>
        <w:bCs/>
        <w:sz w:val="28"/>
        <w:szCs w:val="28"/>
      </w:rPr>
      <w:t>Building</w:t>
    </w:r>
    <w:r w:rsidR="00AE13D5">
      <w:rPr>
        <w:b/>
        <w:bCs/>
        <w:sz w:val="28"/>
        <w:szCs w:val="28"/>
      </w:rPr>
      <w:br/>
      <w:t>Services Engineering</w:t>
    </w:r>
  </w:p>
  <w:p w14:paraId="57714F78" w14:textId="4909525C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0953AE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0953AE">
      <w:rPr>
        <w:color w:val="0077E3"/>
        <w:sz w:val="24"/>
        <w:szCs w:val="28"/>
      </w:rPr>
      <w:t>21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3F5CAF" w14:textId="77777777" w:rsidR="00AE13D5" w:rsidRDefault="00AE13D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37177"/>
    <w:rsid w:val="00053467"/>
    <w:rsid w:val="00056A82"/>
    <w:rsid w:val="00082C62"/>
    <w:rsid w:val="000953AE"/>
    <w:rsid w:val="00095F89"/>
    <w:rsid w:val="000B231F"/>
    <w:rsid w:val="000C1B90"/>
    <w:rsid w:val="000C28AE"/>
    <w:rsid w:val="000E194B"/>
    <w:rsid w:val="000F77CA"/>
    <w:rsid w:val="00110217"/>
    <w:rsid w:val="001259FF"/>
    <w:rsid w:val="0014141E"/>
    <w:rsid w:val="00152AC3"/>
    <w:rsid w:val="00156AF3"/>
    <w:rsid w:val="00157159"/>
    <w:rsid w:val="00181693"/>
    <w:rsid w:val="0019491D"/>
    <w:rsid w:val="001A5FF6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A7DAC"/>
    <w:rsid w:val="003E1C9B"/>
    <w:rsid w:val="00404B31"/>
    <w:rsid w:val="0041190C"/>
    <w:rsid w:val="004145CA"/>
    <w:rsid w:val="00433A94"/>
    <w:rsid w:val="004650A7"/>
    <w:rsid w:val="00474F67"/>
    <w:rsid w:val="00484E14"/>
    <w:rsid w:val="0048500D"/>
    <w:rsid w:val="004A2174"/>
    <w:rsid w:val="004A2704"/>
    <w:rsid w:val="004C5D04"/>
    <w:rsid w:val="004D0309"/>
    <w:rsid w:val="00510F58"/>
    <w:rsid w:val="00524E1B"/>
    <w:rsid w:val="005802AA"/>
    <w:rsid w:val="005E2ACA"/>
    <w:rsid w:val="005E54D3"/>
    <w:rsid w:val="005F1A1B"/>
    <w:rsid w:val="005F7D9A"/>
    <w:rsid w:val="00604464"/>
    <w:rsid w:val="006135C0"/>
    <w:rsid w:val="00625979"/>
    <w:rsid w:val="006476CF"/>
    <w:rsid w:val="00647B26"/>
    <w:rsid w:val="006642FD"/>
    <w:rsid w:val="00672AE3"/>
    <w:rsid w:val="006807B0"/>
    <w:rsid w:val="00691B95"/>
    <w:rsid w:val="006B1533"/>
    <w:rsid w:val="006B798A"/>
    <w:rsid w:val="006D3AA3"/>
    <w:rsid w:val="006D4994"/>
    <w:rsid w:val="006E1028"/>
    <w:rsid w:val="006E19C2"/>
    <w:rsid w:val="006F7BAF"/>
    <w:rsid w:val="00796699"/>
    <w:rsid w:val="00797FA7"/>
    <w:rsid w:val="007990E9"/>
    <w:rsid w:val="007D123E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A234C"/>
    <w:rsid w:val="009A3A42"/>
    <w:rsid w:val="009C5C6E"/>
    <w:rsid w:val="009F080E"/>
    <w:rsid w:val="009F5CD6"/>
    <w:rsid w:val="00A2454C"/>
    <w:rsid w:val="00A60089"/>
    <w:rsid w:val="00A70C46"/>
    <w:rsid w:val="00A84CDA"/>
    <w:rsid w:val="00A90E92"/>
    <w:rsid w:val="00A95D7C"/>
    <w:rsid w:val="00AA07CE"/>
    <w:rsid w:val="00AA0E5F"/>
    <w:rsid w:val="00AA1F70"/>
    <w:rsid w:val="00AE13D5"/>
    <w:rsid w:val="00AE245C"/>
    <w:rsid w:val="00B054EC"/>
    <w:rsid w:val="00B05507"/>
    <w:rsid w:val="00B261C8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1F82"/>
    <w:rsid w:val="00CD5BB4"/>
    <w:rsid w:val="00D04D79"/>
    <w:rsid w:val="00D073BC"/>
    <w:rsid w:val="00D37B65"/>
    <w:rsid w:val="00D43A10"/>
    <w:rsid w:val="00D56B82"/>
    <w:rsid w:val="00D61B83"/>
    <w:rsid w:val="00D8173D"/>
    <w:rsid w:val="00DA2485"/>
    <w:rsid w:val="00DA5BC8"/>
    <w:rsid w:val="00DE29A8"/>
    <w:rsid w:val="00E05A3D"/>
    <w:rsid w:val="00E67DE5"/>
    <w:rsid w:val="00EA5EBD"/>
    <w:rsid w:val="00EE5CDC"/>
    <w:rsid w:val="00F03E33"/>
    <w:rsid w:val="00F15749"/>
    <w:rsid w:val="00F42A36"/>
    <w:rsid w:val="00F86994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Linda Mellor</cp:lastModifiedBy>
  <cp:revision>13</cp:revision>
  <cp:lastPrinted>2013-05-15T12:05:00Z</cp:lastPrinted>
  <dcterms:created xsi:type="dcterms:W3CDTF">2020-06-10T07:23:00Z</dcterms:created>
  <dcterms:modified xsi:type="dcterms:W3CDTF">2021-03-03T16:32:00Z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