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33E8C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5F48D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5F48DB">
        <w:rPr>
          <w:color w:val="000000" w:themeColor="text1"/>
          <w:szCs w:val="28"/>
        </w:rPr>
        <w:t>operations</w:t>
      </w:r>
    </w:p>
    <w:p w14:paraId="5C4F3365" w14:textId="6050F987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CE62EF">
        <w:t>0</w:t>
      </w:r>
      <w:r w:rsidRPr="00E040CD">
        <w:t xml:space="preserve">: </w:t>
      </w:r>
      <w:r w:rsidR="008A4ED5">
        <w:t xml:space="preserve">Drainage </w:t>
      </w:r>
      <w:r w:rsidR="005F48DB">
        <w:t>s</w:t>
      </w:r>
      <w:r w:rsidR="008A4ED5">
        <w:t>ystems</w:t>
      </w:r>
      <w:r w:rsidR="00DB448F">
        <w:t xml:space="preserve"> </w:t>
      </w:r>
      <w:r w:rsidRPr="00E040CD">
        <w:t>(</w:t>
      </w:r>
      <w:r w:rsidR="00433F5C">
        <w:t>tutor</w:t>
      </w:r>
      <w:r w:rsidRPr="00E040CD">
        <w:t>)</w:t>
      </w:r>
    </w:p>
    <w:p w14:paraId="5FF2DB1E" w14:textId="0358F84F" w:rsidR="00D474E8" w:rsidRPr="004D11EF" w:rsidRDefault="00D474E8" w:rsidP="00D23343">
      <w:pPr>
        <w:pStyle w:val="Normalnumberedlist"/>
        <w:rPr>
          <w:b/>
          <w:bCs/>
        </w:rPr>
      </w:pPr>
      <w:r w:rsidRPr="004D11EF">
        <w:t>Study the descriptions of drainage systems and match the information to the following types:</w:t>
      </w:r>
      <w:r w:rsidRPr="004D11EF">
        <w:rPr>
          <w:b/>
          <w:bCs/>
        </w:rPr>
        <w:t xml:space="preserve">  </w:t>
      </w: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7061DC57" w14:textId="24EFB089" w:rsidR="00780FBD" w:rsidRPr="00F762BC" w:rsidRDefault="00F762BC" w:rsidP="00780FBD">
      <w:pPr>
        <w:rPr>
          <w:rFonts w:cs="Arial"/>
          <w:b/>
          <w:bCs/>
          <w:color w:val="000000" w:themeColor="text1"/>
          <w:sz w:val="24"/>
        </w:rPr>
      </w:pPr>
      <w:r w:rsidRPr="00F762BC">
        <w:rPr>
          <w:rFonts w:cs="Arial"/>
          <w:b/>
          <w:bCs/>
          <w:color w:val="000000" w:themeColor="text1"/>
          <w:sz w:val="24"/>
        </w:rPr>
        <w:t xml:space="preserve">Soakaway, Part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eparate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ystem, Combined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ystem, Separate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>ystem</w:t>
      </w:r>
    </w:p>
    <w:p w14:paraId="77E03BC5" w14:textId="77777777" w:rsidR="00780FBD" w:rsidRPr="00D474E8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3FE6688E" w14:textId="7F711ACB" w:rsidR="00CB5B27" w:rsidRPr="0049754C" w:rsidRDefault="00CB5B27" w:rsidP="00512067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031270" w14:paraId="33884DB3" w14:textId="77777777" w:rsidTr="00780FBD">
        <w:tc>
          <w:tcPr>
            <w:tcW w:w="4754" w:type="dxa"/>
          </w:tcPr>
          <w:p w14:paraId="7144EFD1" w14:textId="6F8FFA5B" w:rsidR="00031270" w:rsidRPr="00CB28D4" w:rsidRDefault="00031270" w:rsidP="003046C7">
            <w:pPr>
              <w:rPr>
                <w:rFonts w:cs="Arial"/>
                <w:b/>
                <w:bCs/>
                <w:szCs w:val="22"/>
              </w:rPr>
            </w:pPr>
            <w:r w:rsidRPr="00CB28D4">
              <w:rPr>
                <w:rFonts w:cs="Arial"/>
                <w:b/>
                <w:bCs/>
                <w:szCs w:val="22"/>
              </w:rPr>
              <w:t>Type of drainage system</w:t>
            </w:r>
          </w:p>
        </w:tc>
        <w:tc>
          <w:tcPr>
            <w:tcW w:w="4754" w:type="dxa"/>
          </w:tcPr>
          <w:p w14:paraId="7CB1293F" w14:textId="593A7B9E" w:rsidR="00031270" w:rsidRPr="00CB28D4" w:rsidRDefault="00031270" w:rsidP="003046C7">
            <w:pPr>
              <w:tabs>
                <w:tab w:val="left" w:pos="3672"/>
              </w:tabs>
              <w:rPr>
                <w:rFonts w:cs="Arial"/>
                <w:b/>
                <w:bCs/>
                <w:szCs w:val="22"/>
              </w:rPr>
            </w:pPr>
            <w:r w:rsidRPr="00CB28D4">
              <w:rPr>
                <w:rFonts w:cs="Arial"/>
                <w:b/>
                <w:bCs/>
                <w:szCs w:val="22"/>
              </w:rPr>
              <w:t>Description</w:t>
            </w:r>
          </w:p>
        </w:tc>
      </w:tr>
      <w:tr w:rsidR="00780FBD" w14:paraId="73740244" w14:textId="77777777" w:rsidTr="00780FBD">
        <w:tc>
          <w:tcPr>
            <w:tcW w:w="4754" w:type="dxa"/>
          </w:tcPr>
          <w:p w14:paraId="557BC0DF" w14:textId="77777777" w:rsidR="00780FBD" w:rsidRPr="00CB28D4" w:rsidRDefault="00780FBD" w:rsidP="003046C7">
            <w:pPr>
              <w:rPr>
                <w:rFonts w:cs="Arial"/>
                <w:color w:val="FF0000"/>
                <w:szCs w:val="22"/>
              </w:rPr>
            </w:pPr>
          </w:p>
          <w:p w14:paraId="00AF7939" w14:textId="44A08BA8" w:rsidR="00736F60" w:rsidRPr="00CB28D4" w:rsidRDefault="00736F60" w:rsidP="003046C7">
            <w:pPr>
              <w:rPr>
                <w:rFonts w:cs="Arial"/>
                <w:color w:val="FF0000"/>
                <w:szCs w:val="22"/>
              </w:rPr>
            </w:pPr>
            <w:r w:rsidRPr="00CB28D4">
              <w:rPr>
                <w:rFonts w:cs="Arial"/>
                <w:color w:val="FF0000"/>
                <w:szCs w:val="22"/>
              </w:rPr>
              <w:t>Combined system</w:t>
            </w:r>
          </w:p>
        </w:tc>
        <w:tc>
          <w:tcPr>
            <w:tcW w:w="4754" w:type="dxa"/>
          </w:tcPr>
          <w:p w14:paraId="3C63B80F" w14:textId="77777777" w:rsidR="00D23C5A" w:rsidRPr="00F762BC" w:rsidRDefault="00D23C5A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  <w:p w14:paraId="5A0FF02E" w14:textId="1F5C8B96" w:rsidR="00D23C5A" w:rsidRPr="00F762BC" w:rsidRDefault="00D23C5A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>In this system one large pipe takes the discharge from top, waste and foul water fittings.</w:t>
            </w:r>
          </w:p>
          <w:p w14:paraId="66CA217F" w14:textId="307DFB24" w:rsidR="00780FBD" w:rsidRPr="00F762BC" w:rsidRDefault="00780FBD" w:rsidP="003046C7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</w:tc>
      </w:tr>
      <w:tr w:rsidR="00780FBD" w14:paraId="17347F00" w14:textId="77777777" w:rsidTr="00780FBD">
        <w:tc>
          <w:tcPr>
            <w:tcW w:w="4754" w:type="dxa"/>
          </w:tcPr>
          <w:p w14:paraId="14682696" w14:textId="77777777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</w:p>
          <w:p w14:paraId="4487DD0B" w14:textId="3AC0E042" w:rsidR="00780FBD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 w:rsidRPr="00CB28D4">
              <w:rPr>
                <w:rFonts w:cs="Arial"/>
                <w:color w:val="FF0000"/>
                <w:szCs w:val="22"/>
              </w:rPr>
              <w:t>Separate system</w:t>
            </w:r>
          </w:p>
        </w:tc>
        <w:tc>
          <w:tcPr>
            <w:tcW w:w="4754" w:type="dxa"/>
          </w:tcPr>
          <w:p w14:paraId="290A018A" w14:textId="464CD22E" w:rsidR="0051202A" w:rsidRPr="00F762BC" w:rsidRDefault="0051202A" w:rsidP="003046C7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>In this system two completely separate sets of pipes lead to two different sewers. One carries the foul water from sinks,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 xml:space="preserve">baths, toilets, bidets etc, the other carries the surface water (or </w:t>
            </w:r>
            <w:r w:rsidR="007F5E95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) from </w:t>
            </w:r>
            <w:r w:rsidR="00F762BC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 pipes and paved areas.</w:t>
            </w:r>
          </w:p>
          <w:p w14:paraId="2B37D008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  <w:tr w:rsidR="00780FBD" w14:paraId="6CBE22D4" w14:textId="77777777" w:rsidTr="00780FBD">
        <w:tc>
          <w:tcPr>
            <w:tcW w:w="4754" w:type="dxa"/>
          </w:tcPr>
          <w:p w14:paraId="20E63661" w14:textId="77777777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</w:p>
          <w:p w14:paraId="53F8F066" w14:textId="7D221E02" w:rsidR="00780FBD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 w:rsidRPr="00CB28D4">
              <w:rPr>
                <w:rFonts w:cs="Arial"/>
                <w:color w:val="FF0000"/>
                <w:szCs w:val="22"/>
              </w:rPr>
              <w:t>Part separate system</w:t>
            </w:r>
          </w:p>
        </w:tc>
        <w:tc>
          <w:tcPr>
            <w:tcW w:w="4754" w:type="dxa"/>
          </w:tcPr>
          <w:p w14:paraId="36E75576" w14:textId="3C60F18C" w:rsidR="00B97A48" w:rsidRPr="00F762BC" w:rsidRDefault="00B97A48" w:rsidP="003046C7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 xml:space="preserve">This method is a compromise between the combined and separate systems. One sewer </w:t>
            </w:r>
            <w:r w:rsidR="007F5E95" w:rsidRPr="00F762BC">
              <w:rPr>
                <w:rFonts w:cs="Arial"/>
                <w:szCs w:val="22"/>
              </w:rPr>
              <w:t>deal</w:t>
            </w:r>
            <w:r w:rsidRPr="00F762BC">
              <w:rPr>
                <w:rFonts w:cs="Arial"/>
                <w:szCs w:val="22"/>
              </w:rPr>
              <w:t xml:space="preserve"> with yard gullies and as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 xml:space="preserve">much of the roof water as possible. The other takes the foul water and a small amount of the </w:t>
            </w:r>
            <w:r w:rsidR="007F5E95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>, preferably via a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>gully at the top of the system, which will flush the system during hot weather.</w:t>
            </w:r>
          </w:p>
          <w:p w14:paraId="102B6B40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  <w:tr w:rsidR="00780FBD" w14:paraId="73644951" w14:textId="77777777" w:rsidTr="00780FBD">
        <w:tc>
          <w:tcPr>
            <w:tcW w:w="4754" w:type="dxa"/>
          </w:tcPr>
          <w:p w14:paraId="73B4A82D" w14:textId="77777777" w:rsidR="00780FBD" w:rsidRPr="00CB28D4" w:rsidRDefault="00780FBD" w:rsidP="003046C7">
            <w:pPr>
              <w:rPr>
                <w:rFonts w:asciiTheme="minorHAnsi" w:hAnsiTheme="minorHAnsi" w:cstheme="minorHAnsi"/>
                <w:color w:val="FF0000"/>
                <w:szCs w:val="22"/>
              </w:rPr>
            </w:pPr>
          </w:p>
          <w:p w14:paraId="554B2224" w14:textId="16A6723B" w:rsidR="00CB28D4" w:rsidRPr="00CB28D4" w:rsidRDefault="00CB28D4" w:rsidP="003046C7">
            <w:pPr>
              <w:rPr>
                <w:rFonts w:cs="Arial"/>
                <w:color w:val="FF0000"/>
                <w:szCs w:val="22"/>
              </w:rPr>
            </w:pPr>
            <w:r w:rsidRPr="00CB28D4">
              <w:rPr>
                <w:rFonts w:cs="Arial"/>
                <w:color w:val="FF0000"/>
                <w:szCs w:val="22"/>
              </w:rPr>
              <w:t>Soakaway</w:t>
            </w:r>
          </w:p>
        </w:tc>
        <w:tc>
          <w:tcPr>
            <w:tcW w:w="4754" w:type="dxa"/>
          </w:tcPr>
          <w:p w14:paraId="20D65C16" w14:textId="78D35DEF" w:rsidR="007F5E95" w:rsidRPr="00F762BC" w:rsidRDefault="007F5E95" w:rsidP="003046C7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 xml:space="preserve">These are large excavations dug in permeable ground, filled with varying sizes of stones, from large at the bottom, gradually becoming smaller near the top. If a surface water drain is not available, only </w:t>
            </w:r>
            <w:r w:rsidR="00F762BC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 may be discharged into a soakaway.</w:t>
            </w:r>
          </w:p>
          <w:p w14:paraId="3E69941F" w14:textId="77777777" w:rsidR="00780FBD" w:rsidRPr="00F762BC" w:rsidRDefault="00780FBD" w:rsidP="003046C7">
            <w:pPr>
              <w:rPr>
                <w:rFonts w:cs="Arial"/>
                <w:szCs w:val="22"/>
              </w:rPr>
            </w:pPr>
          </w:p>
        </w:tc>
      </w:tr>
    </w:tbl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2A7DB" w14:textId="77777777" w:rsidR="00847FCB" w:rsidRDefault="00847FCB">
      <w:pPr>
        <w:spacing w:before="0" w:after="0"/>
      </w:pPr>
      <w:r>
        <w:separator/>
      </w:r>
    </w:p>
  </w:endnote>
  <w:endnote w:type="continuationSeparator" w:id="0">
    <w:p w14:paraId="0CC4E281" w14:textId="77777777" w:rsidR="00847FCB" w:rsidRDefault="00847F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3E4B0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F48D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E62EF">
      <w:fldChar w:fldCharType="begin"/>
    </w:r>
    <w:r w:rsidR="00CE62EF">
      <w:instrText xml:space="preserve"> NUMPAGES   \* MERGEFORMAT </w:instrText>
    </w:r>
    <w:r w:rsidR="00CE62EF">
      <w:fldChar w:fldCharType="separate"/>
    </w:r>
    <w:r>
      <w:t>1</w:t>
    </w:r>
    <w:r w:rsidR="00CE62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8B2E3" w14:textId="77777777" w:rsidR="00847FCB" w:rsidRDefault="00847FCB">
      <w:pPr>
        <w:spacing w:before="0" w:after="0"/>
      </w:pPr>
      <w:r>
        <w:separator/>
      </w:r>
    </w:p>
  </w:footnote>
  <w:footnote w:type="continuationSeparator" w:id="0">
    <w:p w14:paraId="71995E1B" w14:textId="77777777" w:rsidR="00847FCB" w:rsidRDefault="00847F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A8D650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5F48DB">
      <w:rPr>
        <w:b/>
        <w:bCs/>
        <w:sz w:val="28"/>
        <w:szCs w:val="28"/>
      </w:rPr>
      <w:t>ding</w:t>
    </w:r>
    <w:r w:rsidR="005F48DB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5F48DB">
      <w:rPr>
        <w:b/>
        <w:bCs/>
        <w:sz w:val="28"/>
        <w:szCs w:val="28"/>
      </w:rPr>
      <w:t>gineering</w:t>
    </w:r>
  </w:p>
  <w:p w14:paraId="6D5BF42A" w14:textId="24355EF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5F48D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CE62EF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64A3"/>
    <w:rsid w:val="000240BD"/>
    <w:rsid w:val="00031270"/>
    <w:rsid w:val="00076834"/>
    <w:rsid w:val="00082C62"/>
    <w:rsid w:val="000B231F"/>
    <w:rsid w:val="000E194B"/>
    <w:rsid w:val="00110217"/>
    <w:rsid w:val="00115B71"/>
    <w:rsid w:val="00152AC3"/>
    <w:rsid w:val="00156AF3"/>
    <w:rsid w:val="0017193E"/>
    <w:rsid w:val="00187D4D"/>
    <w:rsid w:val="0019491D"/>
    <w:rsid w:val="001A75D5"/>
    <w:rsid w:val="001F74AD"/>
    <w:rsid w:val="00205EAE"/>
    <w:rsid w:val="00236979"/>
    <w:rsid w:val="0023761C"/>
    <w:rsid w:val="00241D75"/>
    <w:rsid w:val="00245F0C"/>
    <w:rsid w:val="00264FE8"/>
    <w:rsid w:val="002936E6"/>
    <w:rsid w:val="002A3011"/>
    <w:rsid w:val="002D07A8"/>
    <w:rsid w:val="003046C7"/>
    <w:rsid w:val="00310391"/>
    <w:rsid w:val="00322A75"/>
    <w:rsid w:val="003405EA"/>
    <w:rsid w:val="003559D3"/>
    <w:rsid w:val="00395739"/>
    <w:rsid w:val="003A522F"/>
    <w:rsid w:val="00403AC8"/>
    <w:rsid w:val="00404B31"/>
    <w:rsid w:val="00412BBC"/>
    <w:rsid w:val="004178E8"/>
    <w:rsid w:val="00433F5C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D11EF"/>
    <w:rsid w:val="004F535A"/>
    <w:rsid w:val="00504C30"/>
    <w:rsid w:val="0051202A"/>
    <w:rsid w:val="00512067"/>
    <w:rsid w:val="00514ADF"/>
    <w:rsid w:val="00524E1B"/>
    <w:rsid w:val="005368BA"/>
    <w:rsid w:val="00547A8E"/>
    <w:rsid w:val="005B0AE8"/>
    <w:rsid w:val="005F48DB"/>
    <w:rsid w:val="006135C0"/>
    <w:rsid w:val="006302B0"/>
    <w:rsid w:val="006642FD"/>
    <w:rsid w:val="006647E8"/>
    <w:rsid w:val="006807B0"/>
    <w:rsid w:val="00691B95"/>
    <w:rsid w:val="0069604E"/>
    <w:rsid w:val="00697E6E"/>
    <w:rsid w:val="006B798A"/>
    <w:rsid w:val="006D3AA3"/>
    <w:rsid w:val="006D4994"/>
    <w:rsid w:val="006E1028"/>
    <w:rsid w:val="006E19C2"/>
    <w:rsid w:val="006F7BAF"/>
    <w:rsid w:val="007132E7"/>
    <w:rsid w:val="00736F60"/>
    <w:rsid w:val="00757C8D"/>
    <w:rsid w:val="0076199F"/>
    <w:rsid w:val="00776D8A"/>
    <w:rsid w:val="00780FBD"/>
    <w:rsid w:val="00797FA7"/>
    <w:rsid w:val="007A0666"/>
    <w:rsid w:val="007A2045"/>
    <w:rsid w:val="007C32BB"/>
    <w:rsid w:val="007F5E95"/>
    <w:rsid w:val="00841428"/>
    <w:rsid w:val="00847FCB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4651"/>
    <w:rsid w:val="009C5C6E"/>
    <w:rsid w:val="00A13388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30077"/>
    <w:rsid w:val="00B64CAE"/>
    <w:rsid w:val="00B9347A"/>
    <w:rsid w:val="00B97A48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A4CA2"/>
    <w:rsid w:val="00CB28D4"/>
    <w:rsid w:val="00CB5B27"/>
    <w:rsid w:val="00CD7A9F"/>
    <w:rsid w:val="00CE62EF"/>
    <w:rsid w:val="00D073BC"/>
    <w:rsid w:val="00D162E9"/>
    <w:rsid w:val="00D23343"/>
    <w:rsid w:val="00D23C5A"/>
    <w:rsid w:val="00D474E8"/>
    <w:rsid w:val="00D56B82"/>
    <w:rsid w:val="00DA2485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5749"/>
    <w:rsid w:val="00F42A36"/>
    <w:rsid w:val="00F762BC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2021-01-26T15:22:00Z</dcterms:created>
  <dcterms:modified xsi:type="dcterms:W3CDTF">2021-03-29T16:23:00Z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