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15E045B" w:rsidR="00CC1C2A" w:rsidRDefault="00376CB6" w:rsidP="00C82D1D">
      <w:pPr>
        <w:pStyle w:val="Unittitle"/>
        <w:spacing w:after="200"/>
      </w:pPr>
      <w:r>
        <w:t>U</w:t>
      </w:r>
      <w:r w:rsidR="0017259D">
        <w:t xml:space="preserve">nit </w:t>
      </w:r>
      <w:r w:rsidR="00CC1C2A" w:rsidRPr="00CC1C2A">
        <w:t>20</w:t>
      </w:r>
      <w:r w:rsidR="00D7490C">
        <w:t>2</w:t>
      </w:r>
      <w:r w:rsidR="00CC1C2A" w:rsidRPr="00CC1C2A">
        <w:t xml:space="preserve">: </w:t>
      </w:r>
      <w:r w:rsidR="00D7490C" w:rsidRPr="00D7490C">
        <w:t xml:space="preserve">Changing </w:t>
      </w:r>
      <w:r w:rsidR="006F0148">
        <w:t>p</w:t>
      </w:r>
      <w:r w:rsidR="00D7490C" w:rsidRPr="00D7490C">
        <w:t xml:space="preserve">ractices </w:t>
      </w:r>
      <w:r w:rsidR="006F0148">
        <w:t>o</w:t>
      </w:r>
      <w:r w:rsidR="00D7490C" w:rsidRPr="00D7490C">
        <w:t xml:space="preserve">ver </w:t>
      </w:r>
      <w:r w:rsidR="006F0148">
        <w:t>t</w:t>
      </w:r>
      <w:r w:rsidR="00D7490C" w:rsidRPr="00D7490C">
        <w:t>ime</w:t>
      </w:r>
    </w:p>
    <w:p w14:paraId="3719F5E0" w14:textId="5A6CEFD1" w:rsidR="009B0EE5" w:rsidRPr="00C82D1D" w:rsidRDefault="006B23A9" w:rsidP="00C82D1D">
      <w:pPr>
        <w:pStyle w:val="Heading1"/>
        <w:spacing w:after="100"/>
        <w:rPr>
          <w:sz w:val="28"/>
          <w:szCs w:val="28"/>
        </w:rPr>
        <w:sectPr w:rsidR="009B0EE5" w:rsidRPr="00C82D1D" w:rsidSect="006C08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C82D1D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52E51406" w14:textId="77777777" w:rsidR="00693339" w:rsidRPr="00C82D1D" w:rsidRDefault="00693339" w:rsidP="00693339">
      <w:pPr>
        <w:spacing w:before="0" w:after="0" w:line="276" w:lineRule="auto"/>
        <w:contextualSpacing/>
        <w:rPr>
          <w:rFonts w:eastAsiaTheme="minorHAnsi" w:cs="Arial"/>
          <w:sz w:val="18"/>
          <w:szCs w:val="18"/>
        </w:rPr>
      </w:pPr>
      <w:r w:rsidRPr="00C82D1D">
        <w:rPr>
          <w:rFonts w:eastAsiaTheme="minorHAnsi" w:cs="Arial"/>
          <w:sz w:val="18"/>
          <w:szCs w:val="18"/>
        </w:rPr>
        <w:t>The purpose of this unit is for learners to gain knowledge and understanding of how materials, tools and techniques have changed and adapted from pre-1919 practices to the current practices, as well as looking to the future.</w:t>
      </w:r>
    </w:p>
    <w:p w14:paraId="393E0B83" w14:textId="77777777" w:rsidR="00693339" w:rsidRPr="00C82D1D" w:rsidRDefault="00693339" w:rsidP="00693339">
      <w:pPr>
        <w:spacing w:before="0" w:after="0" w:line="276" w:lineRule="auto"/>
        <w:contextualSpacing/>
        <w:rPr>
          <w:rFonts w:eastAsiaTheme="minorHAnsi" w:cs="Arial"/>
          <w:sz w:val="18"/>
          <w:szCs w:val="18"/>
        </w:rPr>
      </w:pPr>
    </w:p>
    <w:p w14:paraId="1C4C788F" w14:textId="77777777" w:rsidR="00693339" w:rsidRPr="00C82D1D" w:rsidRDefault="00693339" w:rsidP="00693339">
      <w:pPr>
        <w:spacing w:before="0" w:after="0" w:line="276" w:lineRule="auto"/>
        <w:rPr>
          <w:rFonts w:eastAsiaTheme="minorHAnsi" w:cs="Arial"/>
          <w:sz w:val="18"/>
          <w:szCs w:val="18"/>
        </w:rPr>
      </w:pPr>
      <w:r w:rsidRPr="00C82D1D">
        <w:rPr>
          <w:rFonts w:eastAsiaTheme="minorHAnsi" w:cs="Arial"/>
          <w:sz w:val="18"/>
          <w:szCs w:val="18"/>
        </w:rPr>
        <w:t>Learners will develop their knowledge, understanding, and where relevant skills of:</w:t>
      </w:r>
    </w:p>
    <w:p w14:paraId="3CB9C2DE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 w:rsidRPr="00C82D1D">
        <w:rPr>
          <w:rFonts w:eastAsiaTheme="minorHAnsi"/>
          <w:sz w:val="18"/>
          <w:szCs w:val="18"/>
        </w:rPr>
        <w:t>the changing construction and built environment sector</w:t>
      </w:r>
    </w:p>
    <w:p w14:paraId="3D758BFA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 w:rsidRPr="00C82D1D">
        <w:rPr>
          <w:rFonts w:eastAsiaTheme="minorHAnsi"/>
          <w:sz w:val="18"/>
          <w:szCs w:val="18"/>
        </w:rPr>
        <w:t>the changes in construction materials, tools, and techniques over time</w:t>
      </w:r>
    </w:p>
    <w:p w14:paraId="6187BAAD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 w:rsidRPr="00C82D1D">
        <w:rPr>
          <w:rFonts w:eastAsiaTheme="minorHAnsi"/>
          <w:sz w:val="18"/>
          <w:szCs w:val="18"/>
        </w:rPr>
        <w:t>the relationship between trades and the environment</w:t>
      </w:r>
    </w:p>
    <w:p w14:paraId="2F117C47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 w:rsidRPr="00C82D1D">
        <w:rPr>
          <w:rFonts w:eastAsiaTheme="minorHAnsi"/>
          <w:sz w:val="18"/>
          <w:szCs w:val="18"/>
        </w:rPr>
        <w:t>connected practice in the construction and building services engineering.</w:t>
      </w:r>
    </w:p>
    <w:p w14:paraId="4CD98C2E" w14:textId="77777777" w:rsidR="00693339" w:rsidRPr="00C82D1D" w:rsidRDefault="00693339" w:rsidP="00693339">
      <w:pPr>
        <w:spacing w:before="0" w:after="0" w:line="276" w:lineRule="auto"/>
        <w:contextualSpacing/>
        <w:rPr>
          <w:rFonts w:eastAsiaTheme="minorHAnsi" w:cs="Arial"/>
          <w:sz w:val="18"/>
          <w:szCs w:val="18"/>
        </w:rPr>
      </w:pPr>
    </w:p>
    <w:p w14:paraId="50E39920" w14:textId="77777777" w:rsidR="00693339" w:rsidRPr="00C82D1D" w:rsidRDefault="00693339" w:rsidP="00693339">
      <w:pPr>
        <w:spacing w:before="0" w:after="0" w:line="276" w:lineRule="auto"/>
        <w:contextualSpacing/>
        <w:rPr>
          <w:rFonts w:eastAsiaTheme="minorHAnsi" w:cs="Arial"/>
          <w:sz w:val="18"/>
          <w:szCs w:val="18"/>
        </w:rPr>
      </w:pPr>
      <w:r w:rsidRPr="00C82D1D">
        <w:rPr>
          <w:rFonts w:eastAsiaTheme="minorHAnsi" w:cs="Arial"/>
          <w:sz w:val="18"/>
          <w:szCs w:val="18"/>
        </w:rPr>
        <w:t>Learners may be introduced to this unit by asking themselves questions such as:</w:t>
      </w:r>
    </w:p>
    <w:p w14:paraId="429C22A9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 w:rsidRPr="00C82D1D">
        <w:rPr>
          <w:rFonts w:eastAsiaTheme="minorHAnsi"/>
          <w:sz w:val="18"/>
          <w:szCs w:val="18"/>
        </w:rPr>
        <w:t>What changed within Construction in 1919?</w:t>
      </w:r>
    </w:p>
    <w:p w14:paraId="7AEA7480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 w:rsidRPr="00C82D1D">
        <w:rPr>
          <w:rFonts w:eastAsiaTheme="minorHAnsi"/>
          <w:sz w:val="18"/>
          <w:szCs w:val="18"/>
        </w:rPr>
        <w:t>What is an aggregate?</w:t>
      </w:r>
    </w:p>
    <w:p w14:paraId="0F843ACE" w14:textId="77777777" w:rsidR="00693339" w:rsidRPr="00C82D1D" w:rsidRDefault="00693339" w:rsidP="00541D8B">
      <w:pPr>
        <w:pStyle w:val="Normalbulletlist"/>
        <w:rPr>
          <w:rFonts w:eastAsiaTheme="minorHAnsi"/>
          <w:sz w:val="18"/>
          <w:szCs w:val="18"/>
        </w:rPr>
      </w:pPr>
      <w:r w:rsidRPr="00C82D1D">
        <w:rPr>
          <w:rFonts w:eastAsiaTheme="minorHAnsi"/>
          <w:sz w:val="18"/>
          <w:szCs w:val="18"/>
        </w:rPr>
        <w:t>How does a DPM work?</w:t>
      </w:r>
    </w:p>
    <w:p w14:paraId="61761659" w14:textId="77777777" w:rsidR="00693339" w:rsidRPr="00C82D1D" w:rsidRDefault="00693339" w:rsidP="00541D8B">
      <w:pPr>
        <w:pStyle w:val="Normalbulletlist"/>
        <w:rPr>
          <w:sz w:val="18"/>
          <w:szCs w:val="18"/>
        </w:rPr>
      </w:pPr>
      <w:r w:rsidRPr="00C82D1D">
        <w:rPr>
          <w:rFonts w:eastAsiaTheme="minorHAnsi"/>
          <w:sz w:val="18"/>
          <w:szCs w:val="18"/>
        </w:rPr>
        <w:t>What is BIM and how does it influence the building process?</w:t>
      </w:r>
    </w:p>
    <w:p w14:paraId="0E1B565B" w14:textId="22202A56" w:rsidR="00A63F2B" w:rsidRPr="00C82D1D" w:rsidRDefault="00693339" w:rsidP="00541D8B">
      <w:pPr>
        <w:pStyle w:val="Normalbulletlist"/>
        <w:rPr>
          <w:sz w:val="18"/>
          <w:szCs w:val="18"/>
        </w:rPr>
      </w:pPr>
      <w:r w:rsidRPr="00C82D1D">
        <w:rPr>
          <w:rFonts w:eastAsiaTheme="minorHAnsi"/>
          <w:sz w:val="18"/>
          <w:szCs w:val="18"/>
        </w:rPr>
        <w:t xml:space="preserve">What is a </w:t>
      </w:r>
      <w:proofErr w:type="spellStart"/>
      <w:r w:rsidRPr="00C82D1D">
        <w:rPr>
          <w:rFonts w:eastAsiaTheme="minorHAnsi"/>
          <w:sz w:val="18"/>
          <w:szCs w:val="18"/>
        </w:rPr>
        <w:t>Passivhaus</w:t>
      </w:r>
      <w:proofErr w:type="spellEnd"/>
      <w:r w:rsidRPr="00C82D1D">
        <w:rPr>
          <w:rFonts w:eastAsiaTheme="minorHAnsi"/>
          <w:sz w:val="18"/>
          <w:szCs w:val="18"/>
        </w:rPr>
        <w:t>?</w:t>
      </w:r>
    </w:p>
    <w:p w14:paraId="6E708174" w14:textId="78100C54" w:rsidR="00C07451" w:rsidRDefault="00C07451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7FE97677" w:rsidR="004D0BA5" w:rsidRPr="00C82D1D" w:rsidRDefault="001D0346" w:rsidP="00541D8B">
      <w:pPr>
        <w:pStyle w:val="Normalnumberedlist"/>
        <w:rPr>
          <w:sz w:val="18"/>
          <w:szCs w:val="18"/>
        </w:rPr>
      </w:pPr>
      <w:r w:rsidRPr="00C82D1D">
        <w:rPr>
          <w:sz w:val="18"/>
          <w:szCs w:val="18"/>
        </w:rPr>
        <w:t>Know the changes in construction pressures and materials over time</w:t>
      </w:r>
    </w:p>
    <w:p w14:paraId="02C4AC0B" w14:textId="00252D60" w:rsidR="004D0BA5" w:rsidRPr="00C82D1D" w:rsidRDefault="005159E1" w:rsidP="00541D8B">
      <w:pPr>
        <w:pStyle w:val="Normalnumberedlist"/>
        <w:rPr>
          <w:sz w:val="18"/>
          <w:szCs w:val="18"/>
        </w:rPr>
      </w:pPr>
      <w:r w:rsidRPr="00C82D1D">
        <w:rPr>
          <w:sz w:val="18"/>
          <w:szCs w:val="18"/>
        </w:rPr>
        <w:t xml:space="preserve">Know the changes in construction </w:t>
      </w:r>
      <w:r w:rsidR="00650B6D" w:rsidRPr="00C82D1D">
        <w:rPr>
          <w:sz w:val="18"/>
          <w:szCs w:val="18"/>
        </w:rPr>
        <w:t>methods</w:t>
      </w:r>
      <w:r w:rsidRPr="00C82D1D">
        <w:rPr>
          <w:sz w:val="18"/>
          <w:szCs w:val="18"/>
        </w:rPr>
        <w:t xml:space="preserve"> over time</w:t>
      </w:r>
    </w:p>
    <w:p w14:paraId="7F4DD5FD" w14:textId="0C625239" w:rsidR="00DF022A" w:rsidRPr="00C82D1D" w:rsidRDefault="00C1529F" w:rsidP="00541D8B">
      <w:pPr>
        <w:pStyle w:val="Normalnumberedlist"/>
        <w:rPr>
          <w:sz w:val="18"/>
          <w:szCs w:val="18"/>
        </w:rPr>
      </w:pPr>
      <w:r w:rsidRPr="00C82D1D">
        <w:rPr>
          <w:sz w:val="18"/>
          <w:szCs w:val="18"/>
        </w:rPr>
        <w:t>Understand the relationship between trades and the environment</w:t>
      </w:r>
    </w:p>
    <w:p w14:paraId="28597254" w14:textId="11648730" w:rsidR="004358EB" w:rsidRPr="00C82D1D" w:rsidRDefault="004358EB" w:rsidP="00541D8B">
      <w:pPr>
        <w:pStyle w:val="Normalnumberedlist"/>
        <w:rPr>
          <w:sz w:val="18"/>
          <w:szCs w:val="18"/>
        </w:rPr>
      </w:pPr>
      <w:r w:rsidRPr="00C82D1D">
        <w:rPr>
          <w:sz w:val="18"/>
          <w:szCs w:val="18"/>
        </w:rPr>
        <w:t xml:space="preserve">Understand connected practice in the construction </w:t>
      </w:r>
      <w:r w:rsidR="005159E1" w:rsidRPr="00C82D1D">
        <w:rPr>
          <w:sz w:val="18"/>
          <w:szCs w:val="18"/>
        </w:rPr>
        <w:t>industry</w:t>
      </w:r>
    </w:p>
    <w:p w14:paraId="5D7E8D91" w14:textId="512B7BBB" w:rsidR="001A5383" w:rsidRDefault="001A5383" w:rsidP="00440485">
      <w:pPr>
        <w:pStyle w:val="ListParagraph"/>
        <w:ind w:left="360"/>
      </w:pPr>
    </w:p>
    <w:p w14:paraId="0C368556" w14:textId="77777777" w:rsidR="00C82D1D" w:rsidRDefault="00C82D1D" w:rsidP="00440485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0EF66538" w14:textId="32BEC773" w:rsidR="000F4E6C" w:rsidRPr="00C82D1D" w:rsidRDefault="000F4E6C" w:rsidP="00C82D1D">
      <w:pPr>
        <w:pStyle w:val="Normalheadingblack"/>
        <w:spacing w:after="40"/>
        <w:rPr>
          <w:sz w:val="20"/>
          <w:szCs w:val="20"/>
        </w:rPr>
      </w:pPr>
      <w:r w:rsidRPr="00C82D1D">
        <w:rPr>
          <w:sz w:val="20"/>
          <w:szCs w:val="20"/>
        </w:rPr>
        <w:t>Textbook</w:t>
      </w:r>
    </w:p>
    <w:p w14:paraId="6F446DAF" w14:textId="1C8B7E9C" w:rsidR="000F4E6C" w:rsidRPr="00C82D1D" w:rsidRDefault="000F4E6C" w:rsidP="00DD1640">
      <w:pPr>
        <w:pStyle w:val="Normalbulletlist"/>
        <w:numPr>
          <w:ilvl w:val="0"/>
          <w:numId w:val="0"/>
        </w:numPr>
        <w:rPr>
          <w:sz w:val="18"/>
          <w:szCs w:val="18"/>
        </w:rPr>
      </w:pPr>
      <w:r w:rsidRPr="00C82D1D">
        <w:rPr>
          <w:sz w:val="18"/>
          <w:szCs w:val="18"/>
        </w:rPr>
        <w:t xml:space="preserve">Gashe, M. and Byrne, K. (2020) </w:t>
      </w:r>
      <w:r w:rsidRPr="00C82D1D">
        <w:rPr>
          <w:i/>
          <w:iCs/>
          <w:sz w:val="18"/>
          <w:szCs w:val="18"/>
        </w:rPr>
        <w:t>The City &amp; Guilds Textbook in Plastering for Levels 1 and 2 Diploma (6708) and Level 2 Technical Certificate (7908)</w:t>
      </w:r>
      <w:r w:rsidRPr="00C82D1D">
        <w:rPr>
          <w:sz w:val="18"/>
          <w:szCs w:val="18"/>
        </w:rPr>
        <w:t>. London: Hodder Education.</w:t>
      </w:r>
      <w:r w:rsidR="00C82D1D">
        <w:rPr>
          <w:sz w:val="18"/>
          <w:szCs w:val="18"/>
        </w:rPr>
        <w:t xml:space="preserve"> </w:t>
      </w:r>
      <w:r w:rsidRPr="00C82D1D">
        <w:rPr>
          <w:sz w:val="18"/>
          <w:szCs w:val="18"/>
        </w:rPr>
        <w:t>ISBN 978-1-39830-647-9</w:t>
      </w:r>
    </w:p>
    <w:p w14:paraId="476FB811" w14:textId="5A61EE80" w:rsidR="00E81D4C" w:rsidRPr="00C82D1D" w:rsidRDefault="00E81D4C" w:rsidP="00C82D1D">
      <w:pPr>
        <w:pStyle w:val="Normalheadingblack"/>
        <w:spacing w:after="40"/>
        <w:rPr>
          <w:sz w:val="20"/>
          <w:szCs w:val="20"/>
        </w:rPr>
      </w:pPr>
      <w:r w:rsidRPr="00C82D1D">
        <w:rPr>
          <w:sz w:val="20"/>
          <w:szCs w:val="20"/>
        </w:rPr>
        <w:t>Websites</w:t>
      </w:r>
    </w:p>
    <w:p w14:paraId="600909F8" w14:textId="623513DD" w:rsidR="2C3E2D2F" w:rsidRPr="00C82D1D" w:rsidRDefault="00DD1640" w:rsidP="61DDFDB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17">
        <w:r w:rsidR="2C3E2D2F" w:rsidRPr="00C82D1D">
          <w:rPr>
            <w:rStyle w:val="Hyperlink"/>
            <w:sz w:val="18"/>
            <w:szCs w:val="18"/>
          </w:rPr>
          <w:t>British gypsum | The White Book</w:t>
        </w:r>
      </w:hyperlink>
    </w:p>
    <w:p w14:paraId="2C60D181" w14:textId="18FC8C4E" w:rsidR="001C0CA5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18">
        <w:r w:rsidR="6890C90F" w:rsidRPr="00C82D1D">
          <w:rPr>
            <w:rStyle w:val="Hyperlink"/>
            <w:sz w:val="18"/>
            <w:szCs w:val="18"/>
          </w:rPr>
          <w:t xml:space="preserve">Engine Shed | </w:t>
        </w:r>
      </w:hyperlink>
      <w:hyperlink r:id="rId19">
        <w:r w:rsidR="00C917C9" w:rsidRPr="00C82D1D">
          <w:rPr>
            <w:rStyle w:val="Hyperlink"/>
            <w:sz w:val="18"/>
            <w:szCs w:val="18"/>
          </w:rPr>
          <w:t>Traditional Mortars: Going Full Circle</w:t>
        </w:r>
      </w:hyperlink>
    </w:p>
    <w:p w14:paraId="19521EDA" w14:textId="4808C088" w:rsidR="001C0CA5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0">
        <w:r w:rsidR="39F4C0F3" w:rsidRPr="00C82D1D">
          <w:rPr>
            <w:rStyle w:val="Hyperlink"/>
            <w:sz w:val="18"/>
            <w:szCs w:val="18"/>
          </w:rPr>
          <w:t xml:space="preserve">Elemental Green | </w:t>
        </w:r>
      </w:hyperlink>
      <w:hyperlink r:id="rId21">
        <w:r w:rsidR="00510A4D" w:rsidRPr="00C82D1D">
          <w:rPr>
            <w:rStyle w:val="Hyperlink"/>
            <w:sz w:val="18"/>
            <w:szCs w:val="18"/>
          </w:rPr>
          <w:t>10 Eco Building Materials Revolutionizing Home Construction</w:t>
        </w:r>
      </w:hyperlink>
    </w:p>
    <w:p w14:paraId="7E7654A1" w14:textId="1CC4C4C3" w:rsidR="001C0CA5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2">
        <w:proofErr w:type="spellStart"/>
        <w:proofErr w:type="gramStart"/>
        <w:r w:rsidR="542C364E" w:rsidRPr="00C82D1D">
          <w:rPr>
            <w:rStyle w:val="Hyperlink"/>
            <w:sz w:val="18"/>
            <w:szCs w:val="18"/>
          </w:rPr>
          <w:t>gov.wales</w:t>
        </w:r>
        <w:proofErr w:type="spellEnd"/>
        <w:proofErr w:type="gramEnd"/>
        <w:r w:rsidR="542C364E" w:rsidRPr="00C82D1D">
          <w:rPr>
            <w:rStyle w:val="Hyperlink"/>
            <w:sz w:val="18"/>
            <w:szCs w:val="18"/>
          </w:rPr>
          <w:t xml:space="preserve"> | </w:t>
        </w:r>
      </w:hyperlink>
      <w:hyperlink r:id="rId23">
        <w:r w:rsidR="00BD5A74" w:rsidRPr="00C82D1D">
          <w:rPr>
            <w:rStyle w:val="Hyperlink"/>
            <w:sz w:val="18"/>
            <w:szCs w:val="18"/>
          </w:rPr>
          <w:t>Well-being of Future Generations (Wales) Act 2015</w:t>
        </w:r>
      </w:hyperlink>
    </w:p>
    <w:p w14:paraId="0B7B3A28" w14:textId="42EC3947" w:rsidR="00B6051D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4">
        <w:r w:rsidR="520D39A1" w:rsidRPr="00C82D1D">
          <w:rPr>
            <w:rStyle w:val="Hyperlink"/>
            <w:sz w:val="18"/>
            <w:szCs w:val="18"/>
          </w:rPr>
          <w:t xml:space="preserve">NBS | </w:t>
        </w:r>
      </w:hyperlink>
      <w:hyperlink r:id="rId25">
        <w:r w:rsidR="00B6051D" w:rsidRPr="00C82D1D">
          <w:rPr>
            <w:rStyle w:val="Hyperlink"/>
            <w:sz w:val="18"/>
            <w:szCs w:val="18"/>
          </w:rPr>
          <w:t xml:space="preserve">What is </w:t>
        </w:r>
        <w:r w:rsidR="000843D8" w:rsidRPr="00C82D1D">
          <w:rPr>
            <w:rStyle w:val="Hyperlink"/>
            <w:sz w:val="18"/>
            <w:szCs w:val="18"/>
          </w:rPr>
          <w:t>Building Information Modelling (</w:t>
        </w:r>
        <w:r w:rsidR="00B6051D" w:rsidRPr="00C82D1D">
          <w:rPr>
            <w:rStyle w:val="Hyperlink"/>
            <w:sz w:val="18"/>
            <w:szCs w:val="18"/>
          </w:rPr>
          <w:t>BIM</w:t>
        </w:r>
        <w:r w:rsidR="000843D8" w:rsidRPr="00C82D1D">
          <w:rPr>
            <w:rStyle w:val="Hyperlink"/>
            <w:sz w:val="18"/>
            <w:szCs w:val="18"/>
          </w:rPr>
          <w:t>)</w:t>
        </w:r>
        <w:r w:rsidR="00B6051D" w:rsidRPr="00C82D1D">
          <w:rPr>
            <w:rStyle w:val="Hyperlink"/>
            <w:sz w:val="18"/>
            <w:szCs w:val="18"/>
          </w:rPr>
          <w:t>?</w:t>
        </w:r>
      </w:hyperlink>
    </w:p>
    <w:p w14:paraId="44287E00" w14:textId="4B1E8EB0" w:rsidR="00B6051D" w:rsidRPr="00C82D1D" w:rsidRDefault="00DD1640" w:rsidP="00A63F2B">
      <w:pPr>
        <w:pStyle w:val="Normalbulletlist"/>
        <w:rPr>
          <w:sz w:val="18"/>
          <w:szCs w:val="18"/>
        </w:rPr>
      </w:pPr>
      <w:hyperlink r:id="rId26" w:history="1">
        <w:r w:rsidR="00B6051D" w:rsidRPr="00C82D1D">
          <w:rPr>
            <w:rStyle w:val="Hyperlink"/>
            <w:sz w:val="18"/>
            <w:szCs w:val="18"/>
          </w:rPr>
          <w:t xml:space="preserve">The Worshipful Company of </w:t>
        </w:r>
        <w:proofErr w:type="spellStart"/>
        <w:r w:rsidR="00B6051D" w:rsidRPr="00C82D1D">
          <w:rPr>
            <w:rStyle w:val="Hyperlink"/>
            <w:sz w:val="18"/>
            <w:szCs w:val="18"/>
          </w:rPr>
          <w:t>Plaisterers</w:t>
        </w:r>
        <w:proofErr w:type="spellEnd"/>
        <w:r w:rsidR="00B6051D" w:rsidRPr="00C82D1D">
          <w:rPr>
            <w:rStyle w:val="Hyperlink"/>
            <w:sz w:val="18"/>
            <w:szCs w:val="18"/>
          </w:rPr>
          <w:t xml:space="preserve"> </w:t>
        </w:r>
        <w:r w:rsidR="0079006B" w:rsidRPr="00C82D1D">
          <w:rPr>
            <w:rStyle w:val="Hyperlink"/>
            <w:sz w:val="18"/>
            <w:szCs w:val="18"/>
          </w:rPr>
          <w:t>| Home page</w:t>
        </w:r>
      </w:hyperlink>
    </w:p>
    <w:p w14:paraId="667BBBA5" w14:textId="2737D039" w:rsidR="00E67161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7">
        <w:r w:rsidR="42D426D5" w:rsidRPr="00C82D1D">
          <w:rPr>
            <w:rStyle w:val="Hyperlink"/>
            <w:sz w:val="18"/>
            <w:szCs w:val="18"/>
          </w:rPr>
          <w:t xml:space="preserve">External Rendering | </w:t>
        </w:r>
      </w:hyperlink>
      <w:hyperlink r:id="rId28">
        <w:r w:rsidR="00E67161" w:rsidRPr="00C82D1D">
          <w:rPr>
            <w:rStyle w:val="Hyperlink"/>
            <w:sz w:val="18"/>
            <w:szCs w:val="18"/>
          </w:rPr>
          <w:t>Modern render system vs traditional render system</w:t>
        </w:r>
      </w:hyperlink>
    </w:p>
    <w:p w14:paraId="7CF5706B" w14:textId="7D9BEC5A" w:rsidR="00F757CF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9">
        <w:r w:rsidR="1AECB39B" w:rsidRPr="00C82D1D">
          <w:rPr>
            <w:rStyle w:val="Hyperlink"/>
            <w:sz w:val="18"/>
            <w:szCs w:val="18"/>
          </w:rPr>
          <w:t xml:space="preserve">YouTube | </w:t>
        </w:r>
      </w:hyperlink>
      <w:hyperlink r:id="rId30">
        <w:r w:rsidR="00F757CF" w:rsidRPr="00C82D1D">
          <w:rPr>
            <w:rStyle w:val="Hyperlink"/>
            <w:sz w:val="18"/>
            <w:szCs w:val="18"/>
          </w:rPr>
          <w:t>Knauf Drywall MP75 Projection Plaster Race</w:t>
        </w:r>
      </w:hyperlink>
    </w:p>
    <w:p w14:paraId="26FBC16B" w14:textId="67992D74" w:rsidR="00781B8B" w:rsidRPr="00C82D1D" w:rsidRDefault="6964EB31" w:rsidP="61DDFDBD">
      <w:pPr>
        <w:pStyle w:val="Normalbulletlist"/>
        <w:rPr>
          <w:rFonts w:eastAsia="Arial" w:cs="Arial"/>
          <w:color w:val="0000FF"/>
          <w:sz w:val="18"/>
          <w:szCs w:val="18"/>
          <w:lang w:eastAsia="en-GB"/>
        </w:rPr>
      </w:pPr>
      <w:r w:rsidRPr="00C82D1D">
        <w:rPr>
          <w:rStyle w:val="cf01"/>
          <w:rFonts w:ascii="Arial" w:hAnsi="Arial" w:cs="Arial"/>
          <w:color w:val="0000FF"/>
          <w:u w:val="single"/>
        </w:rPr>
        <w:t xml:space="preserve">PFT Wales | </w:t>
      </w:r>
      <w:hyperlink r:id="rId31">
        <w:r w:rsidR="00781B8B" w:rsidRPr="00C82D1D">
          <w:rPr>
            <w:rStyle w:val="cf01"/>
            <w:rFonts w:ascii="Arial" w:hAnsi="Arial" w:cs="Arial"/>
            <w:color w:val="0000FF"/>
            <w:u w:val="single"/>
          </w:rPr>
          <w:t xml:space="preserve">PFT </w:t>
        </w:r>
        <w:proofErr w:type="spellStart"/>
        <w:r w:rsidR="00781B8B" w:rsidRPr="00C82D1D">
          <w:rPr>
            <w:rStyle w:val="cf01"/>
            <w:rFonts w:ascii="Arial" w:hAnsi="Arial" w:cs="Arial"/>
            <w:color w:val="0000FF"/>
            <w:u w:val="single"/>
          </w:rPr>
          <w:t>Ritmo</w:t>
        </w:r>
        <w:proofErr w:type="spellEnd"/>
        <w:r w:rsidR="00781B8B" w:rsidRPr="00C82D1D">
          <w:rPr>
            <w:rStyle w:val="cf01"/>
            <w:rFonts w:ascii="Arial" w:hAnsi="Arial" w:cs="Arial"/>
            <w:color w:val="0000FF"/>
            <w:u w:val="single"/>
          </w:rPr>
          <w:t xml:space="preserve"> L Plus 240v Plastering Render Sprayer machine spray plaster</w:t>
        </w:r>
      </w:hyperlink>
      <w:r w:rsidR="00781B8B" w:rsidRPr="00C82D1D">
        <w:rPr>
          <w:rStyle w:val="cf01"/>
          <w:rFonts w:ascii="Arial" w:hAnsi="Arial" w:cs="Arial"/>
        </w:rPr>
        <w:t xml:space="preserve"> </w:t>
      </w:r>
    </w:p>
    <w:p w14:paraId="1A22A648" w14:textId="6ADCBF49" w:rsidR="007B11E2" w:rsidRPr="00C82D1D" w:rsidRDefault="00DD1640" w:rsidP="00A63F2B">
      <w:pPr>
        <w:pStyle w:val="Normalbulletlist"/>
        <w:rPr>
          <w:rStyle w:val="Hyperlink"/>
          <w:rFonts w:eastAsia="Arial" w:cs="Arial"/>
          <w:sz w:val="18"/>
          <w:szCs w:val="18"/>
          <w:u w:val="none"/>
        </w:rPr>
      </w:pPr>
      <w:hyperlink r:id="rId32">
        <w:proofErr w:type="spellStart"/>
        <w:r w:rsidR="1922486C" w:rsidRPr="00C82D1D">
          <w:rPr>
            <w:rStyle w:val="Hyperlink"/>
            <w:sz w:val="18"/>
            <w:szCs w:val="18"/>
          </w:rPr>
          <w:t>Passivhaus</w:t>
        </w:r>
        <w:proofErr w:type="spellEnd"/>
        <w:r w:rsidR="1922486C" w:rsidRPr="00C82D1D">
          <w:rPr>
            <w:rStyle w:val="Hyperlink"/>
            <w:sz w:val="18"/>
            <w:szCs w:val="18"/>
          </w:rPr>
          <w:t xml:space="preserve"> Trust | </w:t>
        </w:r>
      </w:hyperlink>
      <w:hyperlink r:id="rId33">
        <w:r w:rsidR="007B11E2" w:rsidRPr="00C82D1D">
          <w:rPr>
            <w:rStyle w:val="Hyperlink"/>
            <w:sz w:val="18"/>
            <w:szCs w:val="18"/>
          </w:rPr>
          <w:t xml:space="preserve">What is </w:t>
        </w:r>
        <w:proofErr w:type="spellStart"/>
        <w:r w:rsidR="007B11E2" w:rsidRPr="00C82D1D">
          <w:rPr>
            <w:rStyle w:val="Hyperlink"/>
            <w:sz w:val="18"/>
            <w:szCs w:val="18"/>
          </w:rPr>
          <w:t>Passivhaus</w:t>
        </w:r>
        <w:proofErr w:type="spellEnd"/>
        <w:r w:rsidR="007B11E2" w:rsidRPr="00C82D1D">
          <w:rPr>
            <w:rStyle w:val="Hyperlink"/>
            <w:sz w:val="18"/>
            <w:szCs w:val="18"/>
          </w:rPr>
          <w:t>?</w:t>
        </w:r>
      </w:hyperlink>
    </w:p>
    <w:p w14:paraId="31A33D3F" w14:textId="084CC16E" w:rsidR="00FE7F10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34" w:history="1">
        <w:r w:rsidR="00FE7F10" w:rsidRPr="00C82D1D">
          <w:rPr>
            <w:rStyle w:val="Hyperlink"/>
            <w:sz w:val="18"/>
            <w:szCs w:val="18"/>
          </w:rPr>
          <w:t>gov.uk | Construction near protected areas and wildlife</w:t>
        </w:r>
      </w:hyperlink>
    </w:p>
    <w:p w14:paraId="53590BCC" w14:textId="545AABFE" w:rsidR="007F401B" w:rsidRPr="00C82D1D" w:rsidRDefault="00DD1640" w:rsidP="61DDFDB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35">
        <w:r w:rsidR="5DBE28FF" w:rsidRPr="00C82D1D">
          <w:rPr>
            <w:rStyle w:val="Hyperlink"/>
            <w:sz w:val="18"/>
            <w:szCs w:val="18"/>
          </w:rPr>
          <w:t xml:space="preserve">British Gypsum | </w:t>
        </w:r>
      </w:hyperlink>
      <w:hyperlink r:id="rId36">
        <w:proofErr w:type="spellStart"/>
        <w:r w:rsidR="00A363AE" w:rsidRPr="00C82D1D">
          <w:rPr>
            <w:rStyle w:val="Hyperlink"/>
            <w:sz w:val="18"/>
            <w:szCs w:val="18"/>
          </w:rPr>
          <w:t>ThistlePro</w:t>
        </w:r>
        <w:proofErr w:type="spellEnd"/>
        <w:r w:rsidR="00A363AE" w:rsidRPr="00C82D1D">
          <w:rPr>
            <w:rStyle w:val="Hyperlink"/>
            <w:sz w:val="18"/>
            <w:szCs w:val="18"/>
          </w:rPr>
          <w:t xml:space="preserve"> </w:t>
        </w:r>
        <w:proofErr w:type="spellStart"/>
        <w:r w:rsidR="00A363AE" w:rsidRPr="00C82D1D">
          <w:rPr>
            <w:rStyle w:val="Hyperlink"/>
            <w:sz w:val="18"/>
            <w:szCs w:val="18"/>
          </w:rPr>
          <w:t>PureFinish</w:t>
        </w:r>
        <w:proofErr w:type="spellEnd"/>
      </w:hyperlink>
    </w:p>
    <w:p w14:paraId="7A3EF279" w14:textId="08EB8761" w:rsidR="00493426" w:rsidRPr="00C82D1D" w:rsidRDefault="00DD1640" w:rsidP="002816A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37">
        <w:r w:rsidR="38899CC6" w:rsidRPr="00C82D1D">
          <w:rPr>
            <w:rStyle w:val="Hyperlink"/>
            <w:sz w:val="18"/>
            <w:szCs w:val="18"/>
          </w:rPr>
          <w:t xml:space="preserve">JSTOR | </w:t>
        </w:r>
      </w:hyperlink>
      <w:hyperlink r:id="rId38">
        <w:r w:rsidR="00F118A3" w:rsidRPr="00C82D1D">
          <w:rPr>
            <w:rStyle w:val="Hyperlink"/>
            <w:sz w:val="18"/>
            <w:szCs w:val="18"/>
          </w:rPr>
          <w:t>The Story of T.D.A and T.R.A.D.A,</w:t>
        </w:r>
        <w:r w:rsidR="00140C6A" w:rsidRPr="00C82D1D">
          <w:rPr>
            <w:rStyle w:val="Hyperlink"/>
            <w:sz w:val="18"/>
            <w:szCs w:val="18"/>
          </w:rPr>
          <w:t xml:space="preserve"> 1934-74</w:t>
        </w:r>
      </w:hyperlink>
    </w:p>
    <w:p w14:paraId="55A39958" w14:textId="65D54629" w:rsidR="0041126E" w:rsidRPr="00C82D1D" w:rsidRDefault="00DD1640" w:rsidP="0041126E">
      <w:pPr>
        <w:pStyle w:val="Normalbulletlist"/>
        <w:rPr>
          <w:rStyle w:val="Hyperlink"/>
          <w:sz w:val="18"/>
          <w:szCs w:val="18"/>
        </w:rPr>
      </w:pPr>
      <w:hyperlink r:id="rId39" w:history="1">
        <w:hyperlink r:id="rId40" w:history="1">
          <w:r w:rsidR="0041126E" w:rsidRPr="00C82D1D">
            <w:rPr>
              <w:rStyle w:val="Hyperlink"/>
              <w:sz w:val="18"/>
              <w:szCs w:val="18"/>
            </w:rPr>
            <w:t xml:space="preserve">The BWF - British Woodworking Federation | </w:t>
          </w:r>
        </w:hyperlink>
      </w:hyperlink>
      <w:r w:rsidR="00654E08" w:rsidRPr="00C82D1D">
        <w:rPr>
          <w:rStyle w:val="Hyperlink"/>
          <w:sz w:val="18"/>
          <w:szCs w:val="18"/>
        </w:rPr>
        <w:t>Homepage</w:t>
      </w:r>
    </w:p>
    <w:p w14:paraId="5947B3FD" w14:textId="335B7118" w:rsidR="00A026B5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41">
        <w:r w:rsidR="70E9919F" w:rsidRPr="00C82D1D">
          <w:rPr>
            <w:rStyle w:val="Hyperlink"/>
            <w:sz w:val="18"/>
            <w:szCs w:val="18"/>
          </w:rPr>
          <w:t xml:space="preserve">hse.gov.uk | </w:t>
        </w:r>
      </w:hyperlink>
      <w:hyperlink r:id="rId42">
        <w:r w:rsidR="00A026B5" w:rsidRPr="00C82D1D">
          <w:rPr>
            <w:rStyle w:val="Hyperlink"/>
            <w:sz w:val="18"/>
            <w:szCs w:val="18"/>
          </w:rPr>
          <w:t>Control of Substances Hazardous to Health (COSHH)</w:t>
        </w:r>
      </w:hyperlink>
    </w:p>
    <w:p w14:paraId="311591B0" w14:textId="11E20541" w:rsidR="00A026B5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43">
        <w:r w:rsidR="5D561216" w:rsidRPr="00C82D1D">
          <w:rPr>
            <w:rStyle w:val="Hyperlink"/>
            <w:sz w:val="18"/>
            <w:szCs w:val="18"/>
          </w:rPr>
          <w:t xml:space="preserve">legislation.gov.uk | </w:t>
        </w:r>
      </w:hyperlink>
      <w:hyperlink r:id="rId44">
        <w:r w:rsidR="00124CF8" w:rsidRPr="00C82D1D">
          <w:rPr>
            <w:rStyle w:val="Hyperlink"/>
            <w:sz w:val="18"/>
            <w:szCs w:val="18"/>
          </w:rPr>
          <w:t>Environment (Wales) Act 2016</w:t>
        </w:r>
      </w:hyperlink>
    </w:p>
    <w:p w14:paraId="6DB3F29E" w14:textId="79011351" w:rsidR="005A2434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45">
        <w:r w:rsidR="20667024" w:rsidRPr="00C82D1D">
          <w:rPr>
            <w:rStyle w:val="Hyperlink"/>
            <w:sz w:val="18"/>
            <w:szCs w:val="18"/>
          </w:rPr>
          <w:t xml:space="preserve">legislation.gov.uk | </w:t>
        </w:r>
      </w:hyperlink>
      <w:hyperlink r:id="rId46">
        <w:r w:rsidR="005A2434" w:rsidRPr="00C82D1D">
          <w:rPr>
            <w:rStyle w:val="Hyperlink"/>
            <w:sz w:val="18"/>
            <w:szCs w:val="18"/>
          </w:rPr>
          <w:t>Environmental Protection Act 1990</w:t>
        </w:r>
      </w:hyperlink>
    </w:p>
    <w:p w14:paraId="681D1BDC" w14:textId="22CD4C5F" w:rsidR="00771452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47">
        <w:r w:rsidR="124949A8" w:rsidRPr="00C82D1D">
          <w:rPr>
            <w:rStyle w:val="Hyperlink"/>
            <w:sz w:val="18"/>
            <w:szCs w:val="18"/>
          </w:rPr>
          <w:t xml:space="preserve">legislation.gov.uk | </w:t>
        </w:r>
      </w:hyperlink>
      <w:hyperlink r:id="rId48">
        <w:r w:rsidR="000F6E1B" w:rsidRPr="00C82D1D">
          <w:rPr>
            <w:rStyle w:val="Hyperlink"/>
            <w:sz w:val="18"/>
            <w:szCs w:val="18"/>
          </w:rPr>
          <w:t>The Hazardous Waste (England and Wales) Regulations 2005</w:t>
        </w:r>
      </w:hyperlink>
    </w:p>
    <w:p w14:paraId="6F4EDC2A" w14:textId="24184290" w:rsidR="00547A14" w:rsidRPr="00C82D1D" w:rsidRDefault="00DD1640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49">
        <w:r w:rsidR="7A7D6CF8" w:rsidRPr="00C82D1D">
          <w:rPr>
            <w:rStyle w:val="Hyperlink"/>
            <w:sz w:val="18"/>
            <w:szCs w:val="18"/>
          </w:rPr>
          <w:t xml:space="preserve">legislation.gov.uk | </w:t>
        </w:r>
      </w:hyperlink>
      <w:hyperlink r:id="rId50">
        <w:r w:rsidR="00547A14" w:rsidRPr="00C82D1D">
          <w:rPr>
            <w:rStyle w:val="Hyperlink"/>
            <w:sz w:val="18"/>
            <w:szCs w:val="18"/>
          </w:rPr>
          <w:t>Control of Pollution Act 1974</w:t>
        </w:r>
      </w:hyperlink>
    </w:p>
    <w:p w14:paraId="1B9DD587" w14:textId="6A448648" w:rsidR="00D93C78" w:rsidRPr="00C82D1D" w:rsidRDefault="00DD1640" w:rsidP="00F26D74">
      <w:pPr>
        <w:pStyle w:val="Normalbulletlist"/>
        <w:rPr>
          <w:sz w:val="18"/>
          <w:szCs w:val="18"/>
        </w:rPr>
        <w:sectPr w:rsidR="00D93C78" w:rsidRPr="00C82D1D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hyperlink r:id="rId51">
        <w:r w:rsidR="00BF25AF" w:rsidRPr="00C82D1D">
          <w:rPr>
            <w:rStyle w:val="Hyperlink"/>
            <w:sz w:val="18"/>
            <w:szCs w:val="18"/>
          </w:rPr>
          <w:t xml:space="preserve">BREEAM | </w:t>
        </w:r>
        <w:r w:rsidR="00C96DBB" w:rsidRPr="00C82D1D">
          <w:rPr>
            <w:rStyle w:val="Hyperlink"/>
            <w:sz w:val="18"/>
            <w:szCs w:val="18"/>
          </w:rPr>
          <w:t>Homepage</w:t>
        </w:r>
      </w:hyperlink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5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5EE1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4B420D14" w:rsidR="000355F3" w:rsidRPr="00CD50CC" w:rsidRDefault="001E0E05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  <w:r w:rsidRPr="001E0E05">
              <w:t>Know the changes in construction pressures and materials over time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19B683D" w:rsidR="000355F3" w:rsidRPr="00CD50CC" w:rsidRDefault="00C70B41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>
              <w:t>P</w:t>
            </w:r>
            <w:r w:rsidR="00CF56BE" w:rsidRPr="00CF56BE">
              <w:t>re-1919 construction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D10807" w14:textId="6506D99C" w:rsidR="000355F3" w:rsidRDefault="00CA4016" w:rsidP="00C85C02">
            <w:pPr>
              <w:pStyle w:val="Normalbulletlist"/>
            </w:pPr>
            <w:r>
              <w:t>Learners to understand how pre</w:t>
            </w:r>
            <w:r w:rsidR="00974E04">
              <w:t>-</w:t>
            </w:r>
            <w:r>
              <w:t>1919 construction resources were sourced</w:t>
            </w:r>
            <w:r w:rsidR="00B96253">
              <w:t xml:space="preserve"> and used</w:t>
            </w:r>
            <w:r>
              <w:t xml:space="preserve"> locally due to transport constraints</w:t>
            </w:r>
            <w:r w:rsidR="00FA72CF">
              <w:t xml:space="preserve"> </w:t>
            </w:r>
            <w:r>
              <w:t xml:space="preserve">which dominated the type and look of buildings in certain areas </w:t>
            </w:r>
            <w:proofErr w:type="gramStart"/>
            <w:r>
              <w:t>e.g.</w:t>
            </w:r>
            <w:proofErr w:type="gramEnd"/>
            <w:r>
              <w:t xml:space="preserve"> local quarries would produce </w:t>
            </w:r>
            <w:r w:rsidR="009917CA">
              <w:t xml:space="preserve">different </w:t>
            </w:r>
            <w:r>
              <w:t>types</w:t>
            </w:r>
            <w:r w:rsidR="00B01A0A">
              <w:t xml:space="preserve"> and looks</w:t>
            </w:r>
            <w:r>
              <w:t xml:space="preserve"> of aggregate from region to region</w:t>
            </w:r>
            <w:r w:rsidR="00BB7697">
              <w:t>.</w:t>
            </w:r>
            <w:r w:rsidR="00CA2846">
              <w:t xml:space="preserve"> </w:t>
            </w:r>
          </w:p>
          <w:p w14:paraId="7FDB83D5" w14:textId="40AC2ABD" w:rsidR="00CA4016" w:rsidRDefault="00CA4016" w:rsidP="00C85C02">
            <w:pPr>
              <w:pStyle w:val="Normalbulletlist"/>
            </w:pPr>
            <w:r>
              <w:t>Learners to have an understanding of binders and mortars used pre</w:t>
            </w:r>
            <w:r w:rsidR="00322B27">
              <w:t>-</w:t>
            </w:r>
            <w:r>
              <w:t>1919</w:t>
            </w:r>
            <w:r w:rsidR="00322B27">
              <w:t>.</w:t>
            </w:r>
            <w:r>
              <w:t xml:space="preserve"> </w:t>
            </w:r>
          </w:p>
          <w:p w14:paraId="752AAF45" w14:textId="27F05C98" w:rsidR="00CA4016" w:rsidRDefault="00CA4016" w:rsidP="00C85C02">
            <w:pPr>
              <w:pStyle w:val="Normalbulletlist"/>
            </w:pPr>
            <w:r>
              <w:t>Learners to have a knowledge of lime used pre</w:t>
            </w:r>
            <w:r w:rsidR="00974E04">
              <w:t>-</w:t>
            </w:r>
            <w:r>
              <w:t xml:space="preserve">1919 such as </w:t>
            </w:r>
            <w:r w:rsidR="00C917C9">
              <w:t xml:space="preserve">quick lime and hot </w:t>
            </w:r>
            <w:proofErr w:type="spellStart"/>
            <w:r w:rsidR="00C917C9">
              <w:t>lime</w:t>
            </w:r>
            <w:proofErr w:type="spellEnd"/>
            <w:r w:rsidR="00322B27">
              <w:t>.</w:t>
            </w:r>
            <w:r w:rsidR="00C917C9">
              <w:t xml:space="preserve"> </w:t>
            </w:r>
          </w:p>
          <w:p w14:paraId="52A1A5D3" w14:textId="4B1CF515" w:rsidR="006506A7" w:rsidRPr="00CD50CC" w:rsidRDefault="006506A7" w:rsidP="00C85C02">
            <w:pPr>
              <w:pStyle w:val="Normalbulletlist"/>
            </w:pPr>
            <w:r>
              <w:t>Learners to have a knowledge of</w:t>
            </w:r>
            <w:r w:rsidRPr="00342168">
              <w:rPr>
                <w:rFonts w:cs="Arial"/>
              </w:rPr>
              <w:t xml:space="preserve"> internal and external functional and decorative finishes, stone, slate, timber and earth</w:t>
            </w:r>
            <w:r>
              <w:rPr>
                <w:rFonts w:cs="Arial"/>
              </w:rPr>
              <w:t>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0F2F382" w:rsidR="000355F3" w:rsidRPr="00CD50CC" w:rsidRDefault="00C70B41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>
              <w:t>P</w:t>
            </w:r>
            <w:r w:rsidR="00D02EBF" w:rsidRPr="00D02EBF">
              <w:rPr>
                <w:lang w:val="ru-RU"/>
              </w:rPr>
              <w:t>ost</w:t>
            </w:r>
            <w:r w:rsidR="00CC3B4D">
              <w:t>-</w:t>
            </w:r>
            <w:r w:rsidR="00D02EBF" w:rsidRPr="00D02EBF">
              <w:rPr>
                <w:lang w:val="ru-RU"/>
              </w:rPr>
              <w:t>1919 to modern construction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88EB24" w14:textId="6B9FCADD" w:rsidR="000355F3" w:rsidRDefault="00C917C9" w:rsidP="00C85C02">
            <w:pPr>
              <w:pStyle w:val="Normalbulletlist"/>
            </w:pPr>
            <w:r>
              <w:t>Learners to know how transport systems were developed from pre-1919 to post</w:t>
            </w:r>
            <w:r w:rsidR="00322B27">
              <w:t>-</w:t>
            </w:r>
            <w:r>
              <w:t>1919 which helped to revolutionise the construction industry and make more varied construction materials available from around the country</w:t>
            </w:r>
            <w:r w:rsidR="00C73669">
              <w:t>.</w:t>
            </w:r>
          </w:p>
          <w:p w14:paraId="4A601DBE" w14:textId="38FCC1C9" w:rsidR="00C917C9" w:rsidRDefault="00C917C9" w:rsidP="00C85C02">
            <w:pPr>
              <w:pStyle w:val="Normalbulletlist"/>
            </w:pPr>
            <w:r>
              <w:t>Learners to understand cost implications</w:t>
            </w:r>
            <w:r w:rsidR="00935281">
              <w:t>,</w:t>
            </w:r>
            <w:r>
              <w:t xml:space="preserve"> both good and bad</w:t>
            </w:r>
            <w:r w:rsidR="00935281">
              <w:t>,</w:t>
            </w:r>
            <w:r>
              <w:t xml:space="preserve"> when more materials became available for purchase to construct buildings</w:t>
            </w:r>
            <w:r w:rsidR="00935281">
              <w:t>.</w:t>
            </w:r>
            <w:r>
              <w:t xml:space="preserve"> </w:t>
            </w:r>
          </w:p>
          <w:p w14:paraId="13D12CC4" w14:textId="6E3C33AC" w:rsidR="00C917C9" w:rsidRDefault="00C917C9" w:rsidP="00C85C02">
            <w:pPr>
              <w:pStyle w:val="Normalbulletlist"/>
            </w:pPr>
            <w:r>
              <w:t>Learners to know that more prestigious buildings such as churches</w:t>
            </w:r>
            <w:r w:rsidR="005B7B2A">
              <w:t>,</w:t>
            </w:r>
            <w:r>
              <w:t xml:space="preserve"> government </w:t>
            </w:r>
            <w:r w:rsidR="005B7B2A">
              <w:t>and commercial buildings (such as banks, hotels</w:t>
            </w:r>
            <w:r w:rsidR="00CF3637">
              <w:t>,</w:t>
            </w:r>
            <w:r w:rsidR="005B7B2A">
              <w:t xml:space="preserve"> etc</w:t>
            </w:r>
            <w:r w:rsidR="00A642F7">
              <w:t>.</w:t>
            </w:r>
            <w:r w:rsidR="005B7B2A">
              <w:t xml:space="preserve">) </w:t>
            </w:r>
            <w:r>
              <w:t xml:space="preserve">would generally use more expensive materials to </w:t>
            </w:r>
            <w:r w:rsidR="00510A4D">
              <w:t>complete external and internal architectural finishes</w:t>
            </w:r>
            <w:r w:rsidR="00935281">
              <w:t>,</w:t>
            </w:r>
            <w:r w:rsidR="00510A4D">
              <w:t xml:space="preserve"> which would mean more expensive build costs</w:t>
            </w:r>
            <w:r w:rsidR="00935281">
              <w:t>.</w:t>
            </w:r>
          </w:p>
          <w:p w14:paraId="1EEAC278" w14:textId="637FBBA7" w:rsidR="00510A4D" w:rsidRDefault="00510A4D" w:rsidP="00C85C02">
            <w:pPr>
              <w:pStyle w:val="Normalbulletlist"/>
            </w:pPr>
            <w:r>
              <w:t xml:space="preserve">Learners to know </w:t>
            </w:r>
            <w:r w:rsidR="009670B5">
              <w:t xml:space="preserve">that </w:t>
            </w:r>
            <w:r>
              <w:t>more modern buildings post</w:t>
            </w:r>
            <w:r w:rsidR="00935281">
              <w:t>-</w:t>
            </w:r>
            <w:r>
              <w:t xml:space="preserve">1919 would incorporate </w:t>
            </w:r>
            <w:r w:rsidR="00A642F7">
              <w:t xml:space="preserve">Damp Proof Membrane </w:t>
            </w:r>
            <w:r>
              <w:t>(</w:t>
            </w:r>
            <w:r w:rsidR="00A642F7">
              <w:t>DPM</w:t>
            </w:r>
            <w:r>
              <w:t xml:space="preserve">), </w:t>
            </w:r>
            <w:r w:rsidR="00A642F7">
              <w:t xml:space="preserve">Damp Proof Course </w:t>
            </w:r>
            <w:r>
              <w:t>(</w:t>
            </w:r>
            <w:r w:rsidR="00A642F7">
              <w:t>DPC</w:t>
            </w:r>
            <w:r>
              <w:t xml:space="preserve">), steel and glass into building projects and </w:t>
            </w:r>
            <w:r w:rsidR="00F84906">
              <w:t xml:space="preserve">the </w:t>
            </w:r>
            <w:r w:rsidR="001F0861">
              <w:t>e</w:t>
            </w:r>
            <w:r>
              <w:t>ffect</w:t>
            </w:r>
            <w:r w:rsidR="00F84906">
              <w:t xml:space="preserve"> </w:t>
            </w:r>
            <w:r>
              <w:t>this had on the types and speed of construction</w:t>
            </w:r>
            <w:r w:rsidR="00F84906">
              <w:t>.</w:t>
            </w:r>
            <w:r w:rsidR="00A642F7">
              <w:t xml:space="preserve"> </w:t>
            </w:r>
          </w:p>
          <w:p w14:paraId="05948667" w14:textId="5F9CBBBC" w:rsidR="005B7B2A" w:rsidRPr="00CD50CC" w:rsidRDefault="005B7B2A" w:rsidP="00C85C02">
            <w:pPr>
              <w:pStyle w:val="Normalbulletlist"/>
            </w:pPr>
            <w:r>
              <w:t xml:space="preserve">Learners to know the basic qualities of </w:t>
            </w:r>
            <w:r w:rsidRPr="00342168">
              <w:rPr>
                <w:rFonts w:cs="Arial"/>
              </w:rPr>
              <w:t>concrete slabs, brick</w:t>
            </w:r>
            <w:r>
              <w:rPr>
                <w:rFonts w:cs="Arial"/>
              </w:rPr>
              <w:t xml:space="preserve">s, </w:t>
            </w:r>
            <w:r w:rsidRPr="00342168">
              <w:rPr>
                <w:rFonts w:cs="Arial"/>
              </w:rPr>
              <w:t>block</w:t>
            </w:r>
            <w:r>
              <w:rPr>
                <w:rFonts w:cs="Arial"/>
              </w:rPr>
              <w:t>s</w:t>
            </w:r>
            <w:r w:rsidRPr="00342168">
              <w:rPr>
                <w:rFonts w:cs="Arial"/>
              </w:rPr>
              <w:t>, steel, glass, plastics</w:t>
            </w:r>
            <w:r>
              <w:rPr>
                <w:rFonts w:cs="Arial"/>
              </w:rPr>
              <w:t xml:space="preserve"> and composite materials</w:t>
            </w:r>
            <w:r w:rsidR="006F5C12">
              <w:rPr>
                <w:rFonts w:cs="Arial"/>
              </w:rPr>
              <w:t>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91DD67B" w:rsidR="000355F3" w:rsidRPr="00CD50CC" w:rsidRDefault="008A7A71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 w:rsidRPr="008A7A71">
              <w:rPr>
                <w:lang w:val="ru-RU"/>
              </w:rPr>
              <w:t>21</w:t>
            </w:r>
            <w:proofErr w:type="spellStart"/>
            <w:r w:rsidR="00B01B0D" w:rsidRPr="00670D7A">
              <w:t>st</w:t>
            </w:r>
            <w:proofErr w:type="spellEnd"/>
            <w:r w:rsidRPr="008A7A71">
              <w:rPr>
                <w:lang w:val="ru-RU"/>
              </w:rPr>
              <w:t xml:space="preserve"> century construction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FFE78B" w14:textId="50C31740" w:rsidR="000355F3" w:rsidRDefault="00510A4D" w:rsidP="00C85C02">
            <w:pPr>
              <w:pStyle w:val="Normalbulletlist"/>
            </w:pPr>
            <w:r>
              <w:t>Learners to understand what is meant by sustainable construction for modern 21</w:t>
            </w:r>
            <w:r w:rsidRPr="00670D7A">
              <w:t>st</w:t>
            </w:r>
            <w:r>
              <w:t xml:space="preserve"> century building projects</w:t>
            </w:r>
            <w:r w:rsidR="009201E8">
              <w:t>.</w:t>
            </w:r>
          </w:p>
          <w:p w14:paraId="168313D4" w14:textId="60A405D8" w:rsidR="00510A4D" w:rsidRPr="00EE77DF" w:rsidRDefault="00EE77DF" w:rsidP="00C85C02">
            <w:pPr>
              <w:pStyle w:val="Normalbulletlist"/>
            </w:pPr>
            <w:r w:rsidRPr="00F9445E">
              <w:rPr>
                <w:rFonts w:cs="Arial"/>
              </w:rPr>
              <w:t xml:space="preserve">Learners </w:t>
            </w:r>
            <w:r w:rsidR="009201E8">
              <w:rPr>
                <w:rFonts w:cs="Arial"/>
              </w:rPr>
              <w:t>to</w:t>
            </w:r>
            <w:r w:rsidR="009201E8" w:rsidRPr="00F9445E">
              <w:rPr>
                <w:rFonts w:cs="Arial"/>
              </w:rPr>
              <w:t xml:space="preserve"> </w:t>
            </w:r>
            <w:r w:rsidRPr="00F9445E">
              <w:rPr>
                <w:rFonts w:cs="Arial"/>
              </w:rPr>
              <w:t xml:space="preserve">understand the importance of the Well-being of Future Generations (Wales) Act 2015 for the </w:t>
            </w:r>
            <w:r w:rsidR="00055421">
              <w:rPr>
                <w:rFonts w:cs="Arial"/>
              </w:rPr>
              <w:t>c</w:t>
            </w:r>
            <w:r w:rsidRPr="00F9445E">
              <w:rPr>
                <w:rFonts w:cs="Arial"/>
              </w:rPr>
              <w:t>onstruction industry.</w:t>
            </w:r>
          </w:p>
          <w:p w14:paraId="05678EC3" w14:textId="0F8128DB" w:rsidR="00EE77DF" w:rsidRDefault="00EE77DF" w:rsidP="00C85C02">
            <w:pPr>
              <w:pStyle w:val="Normalbulletlist"/>
            </w:pPr>
            <w:r>
              <w:t xml:space="preserve">Learners </w:t>
            </w:r>
            <w:r w:rsidR="00952D17">
              <w:t xml:space="preserve">to </w:t>
            </w:r>
            <w:r>
              <w:t>have a knowledge of the quality and uses of building materials used for 21</w:t>
            </w:r>
            <w:r w:rsidRPr="00670D7A">
              <w:t>st</w:t>
            </w:r>
            <w:r>
              <w:t xml:space="preserve"> century building projects particular to achieving zero carbon footprint</w:t>
            </w:r>
            <w:r w:rsidR="00952D17">
              <w:t>.</w:t>
            </w:r>
          </w:p>
          <w:p w14:paraId="70F7A213" w14:textId="77777777" w:rsidR="005B7B2A" w:rsidRPr="005B7B2A" w:rsidRDefault="005B7B2A" w:rsidP="00C85C02">
            <w:pPr>
              <w:pStyle w:val="Normalbulletlist"/>
            </w:pPr>
            <w:r>
              <w:rPr>
                <w:rFonts w:cs="Arial"/>
              </w:rPr>
              <w:t>Learners to understand t</w:t>
            </w:r>
            <w:r w:rsidRPr="00342168">
              <w:rPr>
                <w:rFonts w:cs="Arial"/>
              </w:rPr>
              <w:t>he role that materials such as cement, glass and steel have played in the industry and the effect that material innovations have had on the scale and speed of construction.</w:t>
            </w:r>
          </w:p>
          <w:p w14:paraId="3C9FF328" w14:textId="534DDF8A" w:rsidR="005B7B2A" w:rsidRDefault="005B7B2A" w:rsidP="009D02EE">
            <w:pPr>
              <w:pStyle w:val="Normalbulletlist"/>
            </w:pPr>
            <w:r>
              <w:rPr>
                <w:rFonts w:cs="Arial"/>
              </w:rPr>
              <w:t>Learners to understand</w:t>
            </w:r>
            <w:r w:rsidR="004E5493">
              <w:rPr>
                <w:rFonts w:cs="Arial"/>
              </w:rPr>
              <w:t xml:space="preserve"> the benefits of off-site construction</w:t>
            </w:r>
            <w:r w:rsidR="00CC15F5">
              <w:rPr>
                <w:rFonts w:cs="Arial"/>
              </w:rPr>
              <w:t>.</w:t>
            </w:r>
            <w:r w:rsidRPr="00342168">
              <w:rPr>
                <w:rFonts w:cs="Arial"/>
              </w:rPr>
              <w:t xml:space="preserve"> </w:t>
            </w:r>
          </w:p>
          <w:p w14:paraId="2623629D" w14:textId="06D84B0E" w:rsidR="00EE77DF" w:rsidRDefault="00EE77DF" w:rsidP="00C85C02">
            <w:pPr>
              <w:pStyle w:val="Normalbulletlist"/>
            </w:pPr>
            <w:r>
              <w:t xml:space="preserve">Learners </w:t>
            </w:r>
            <w:r w:rsidR="00952D17">
              <w:t xml:space="preserve">to </w:t>
            </w:r>
            <w:r>
              <w:t xml:space="preserve">be aware of traditional methods of building surveying and design such as </w:t>
            </w:r>
            <w:r w:rsidR="00077C10">
              <w:t>Computer-Aided Design</w:t>
            </w:r>
            <w:r>
              <w:t xml:space="preserve"> (</w:t>
            </w:r>
            <w:r w:rsidR="00077C10">
              <w:t>CAD</w:t>
            </w:r>
            <w:r w:rsidR="000B172F">
              <w:t>)</w:t>
            </w:r>
            <w:r w:rsidR="00077C10">
              <w:t xml:space="preserve"> </w:t>
            </w:r>
            <w:r>
              <w:t xml:space="preserve">and </w:t>
            </w:r>
            <w:r w:rsidR="00077C10">
              <w:t xml:space="preserve">Building Information Modelling </w:t>
            </w:r>
            <w:r>
              <w:t>(</w:t>
            </w:r>
            <w:r w:rsidR="00077C10">
              <w:t>BIM</w:t>
            </w:r>
            <w:r>
              <w:t>)</w:t>
            </w:r>
            <w:r w:rsidR="00AB0E89">
              <w:t>.</w:t>
            </w:r>
            <w:r>
              <w:t xml:space="preserve"> </w:t>
            </w:r>
          </w:p>
          <w:p w14:paraId="6614572C" w14:textId="6285E7FA" w:rsidR="00EE77DF" w:rsidRDefault="00AB4FE5" w:rsidP="00C85C02">
            <w:pPr>
              <w:pStyle w:val="Normalbulletlist"/>
            </w:pPr>
            <w:r>
              <w:t>Learners to understand the difference and benefits of using modern software for 2D and 3D design tools compared to traditional methods</w:t>
            </w:r>
            <w:r w:rsidR="00F57926">
              <w:t>.</w:t>
            </w:r>
            <w:r>
              <w:t xml:space="preserve"> </w:t>
            </w:r>
          </w:p>
          <w:p w14:paraId="21CF31F4" w14:textId="0569B5FC" w:rsidR="00AB4FE5" w:rsidRPr="00CD50CC" w:rsidRDefault="00AB4FE5" w:rsidP="00C85C02">
            <w:pPr>
              <w:pStyle w:val="Normalbulletlist"/>
            </w:pPr>
            <w:r>
              <w:t>Learners to have some knowledge of limitations to planning and design in construction when using 2D and 3D software technologies</w:t>
            </w:r>
            <w:r w:rsidR="00F57926">
              <w:t>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0499B15" w:rsidR="000E7C90" w:rsidRPr="00CD50CC" w:rsidRDefault="007126F2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  <w:r w:rsidRPr="007126F2">
              <w:t xml:space="preserve">Know the changes in </w:t>
            </w:r>
            <w:r w:rsidR="002D4674">
              <w:t xml:space="preserve">construction </w:t>
            </w:r>
            <w:r w:rsidR="003346B1">
              <w:t>methods</w:t>
            </w:r>
            <w:r w:rsidRPr="007126F2">
              <w:t xml:space="preserve"> over time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92836EC" w:rsidR="000E7C90" w:rsidRPr="00CD50CC" w:rsidRDefault="005D0B10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>
              <w:t>P</w:t>
            </w:r>
            <w:r w:rsidR="00F21E21" w:rsidRPr="00F21E21">
              <w:rPr>
                <w:lang w:val="ru-RU"/>
              </w:rPr>
              <w:t xml:space="preserve">re-1919 buildings </w:t>
            </w:r>
            <w:r>
              <w:t>construction methods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9EB450" w14:textId="46215968" w:rsidR="000E7C90" w:rsidRDefault="00B6051D" w:rsidP="00B6051D">
            <w:pPr>
              <w:pStyle w:val="Normalbulletlist"/>
            </w:pPr>
            <w:r>
              <w:t xml:space="preserve">Learners </w:t>
            </w:r>
            <w:r w:rsidR="00F57926">
              <w:t xml:space="preserve">to </w:t>
            </w:r>
            <w:r>
              <w:t>have a knowledge of methods, applications and techniques used to apply plaster and render materials pre-1919 to internal and external substrates</w:t>
            </w:r>
            <w:r w:rsidR="00F57926">
              <w:t>.</w:t>
            </w:r>
          </w:p>
          <w:p w14:paraId="007594F6" w14:textId="086FC0BA" w:rsidR="00B6051D" w:rsidRDefault="00B6051D" w:rsidP="00B6051D">
            <w:pPr>
              <w:pStyle w:val="Normalbulletlist"/>
            </w:pPr>
            <w:r>
              <w:t xml:space="preserve">Learners </w:t>
            </w:r>
            <w:r w:rsidR="00F57926">
              <w:t xml:space="preserve">to </w:t>
            </w:r>
            <w:r>
              <w:t>have an understanding and list the types of tools used to apply plaster and render materials pre-1919 to internal and external substrates</w:t>
            </w:r>
            <w:r w:rsidR="00F57926">
              <w:t>.</w:t>
            </w:r>
          </w:p>
          <w:p w14:paraId="2EF45B02" w14:textId="169748AB" w:rsidR="00B6051D" w:rsidRDefault="00B6051D" w:rsidP="00B6051D">
            <w:pPr>
              <w:pStyle w:val="Normalbulletlist"/>
            </w:pPr>
            <w:r>
              <w:t xml:space="preserve">Learners will research </w:t>
            </w:r>
            <w:r w:rsidR="00F57926">
              <w:t>‘</w:t>
            </w:r>
            <w:r>
              <w:t xml:space="preserve">the Worshipful Company of </w:t>
            </w:r>
            <w:proofErr w:type="spellStart"/>
            <w:r>
              <w:t>Plaisterers</w:t>
            </w:r>
            <w:proofErr w:type="spellEnd"/>
            <w:r w:rsidR="00F57926">
              <w:t>’</w:t>
            </w:r>
            <w:r>
              <w:t xml:space="preserve"> to gain a knowledge of the plastering industry pre-1919</w:t>
            </w:r>
            <w:r w:rsidR="00F57926">
              <w:t>.</w:t>
            </w:r>
            <w:r>
              <w:t xml:space="preserve"> </w:t>
            </w:r>
          </w:p>
          <w:p w14:paraId="51B0001A" w14:textId="721F513B" w:rsidR="00B6051D" w:rsidRPr="00CD50CC" w:rsidRDefault="00846A20" w:rsidP="00B6051D">
            <w:pPr>
              <w:pStyle w:val="Normalbulletlist"/>
            </w:pPr>
            <w:r>
              <w:lastRenderedPageBreak/>
              <w:t>Learners to research and list the types of materials used to plaster and render and to produce and fix ornamental fibrous components pre-1919</w:t>
            </w:r>
            <w:r w:rsidR="003218F0">
              <w:t>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0958E43B" w:rsidR="000E7C90" w:rsidRPr="00CD50CC" w:rsidRDefault="0014157B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 w:rsidRPr="0014157B">
              <w:rPr>
                <w:bCs/>
                <w:lang w:val="ru-RU"/>
              </w:rPr>
              <w:t xml:space="preserve">Post-1919 and modern construction techniques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417523" w14:textId="6E640E51" w:rsidR="00846A20" w:rsidRDefault="00846A20" w:rsidP="00846A20">
            <w:pPr>
              <w:pStyle w:val="Normalbulletlist"/>
            </w:pPr>
            <w:r>
              <w:t xml:space="preserve">Learners </w:t>
            </w:r>
            <w:r w:rsidR="003218F0">
              <w:t xml:space="preserve">to </w:t>
            </w:r>
            <w:r>
              <w:t>have a knowledge of methods, applications and techniques used to apply plaster and render materials post</w:t>
            </w:r>
            <w:r w:rsidR="003218F0">
              <w:t>-</w:t>
            </w:r>
            <w:r>
              <w:t>1919 to internal and external substrates</w:t>
            </w:r>
            <w:r w:rsidR="003218F0">
              <w:t>,</w:t>
            </w:r>
            <w:r>
              <w:t xml:space="preserve"> including </w:t>
            </w:r>
            <w:r w:rsidR="003218F0">
              <w:t xml:space="preserve">the </w:t>
            </w:r>
            <w:r>
              <w:t>use of plasterboard and cement products</w:t>
            </w:r>
            <w:r w:rsidR="003218F0">
              <w:t>.</w:t>
            </w:r>
          </w:p>
          <w:p w14:paraId="06569832" w14:textId="44CB9346" w:rsidR="00846A20" w:rsidRDefault="00846A20" w:rsidP="00846A20">
            <w:pPr>
              <w:pStyle w:val="Normalbulletlist"/>
            </w:pPr>
            <w:r>
              <w:t xml:space="preserve">Learners </w:t>
            </w:r>
            <w:r w:rsidR="003218F0">
              <w:t xml:space="preserve">to </w:t>
            </w:r>
            <w:r>
              <w:t>have an understanding and list the types of tools used to apply plaster and render materials post</w:t>
            </w:r>
            <w:r w:rsidR="003218F0">
              <w:t>-</w:t>
            </w:r>
            <w:r>
              <w:t>1919 to internal and external substrates</w:t>
            </w:r>
            <w:r w:rsidR="003218F0">
              <w:t>,</w:t>
            </w:r>
            <w:r>
              <w:t xml:space="preserve"> including stainless steel trowels, flex trowels, </w:t>
            </w:r>
            <w:proofErr w:type="spellStart"/>
            <w:r>
              <w:t>speedskims</w:t>
            </w:r>
            <w:proofErr w:type="spellEnd"/>
            <w:r>
              <w:t>, laser levels, projection plaster/render machines</w:t>
            </w:r>
            <w:r w:rsidR="00CF3637">
              <w:t>,</w:t>
            </w:r>
            <w:r w:rsidR="00190709">
              <w:t xml:space="preserve"> etc.</w:t>
            </w:r>
          </w:p>
          <w:p w14:paraId="44042DAA" w14:textId="77777777" w:rsidR="00CF3637" w:rsidRDefault="00846A20" w:rsidP="00C85C02">
            <w:pPr>
              <w:pStyle w:val="Normalbulletlist"/>
            </w:pPr>
            <w:r>
              <w:t>Learners to research and list the types of materials used to plaster and render and to produce and fix ornamental fibrous components p</w:t>
            </w:r>
            <w:r w:rsidR="00E67161">
              <w:t>ost</w:t>
            </w:r>
            <w:r w:rsidR="00A507E1">
              <w:t>-</w:t>
            </w:r>
            <w:r>
              <w:t>1919</w:t>
            </w:r>
            <w:r w:rsidR="00A507E1">
              <w:t>,</w:t>
            </w:r>
            <w:r w:rsidR="00E67161">
              <w:t xml:space="preserve"> including</w:t>
            </w:r>
            <w:r w:rsidR="00CF3637">
              <w:t>:</w:t>
            </w:r>
          </w:p>
          <w:p w14:paraId="50B6138B" w14:textId="22100885" w:rsidR="00CF3637" w:rsidRDefault="00E67161" w:rsidP="00541D8B">
            <w:pPr>
              <w:pStyle w:val="Normalbulletsublist"/>
            </w:pPr>
            <w:r>
              <w:t>mechanical fixing</w:t>
            </w:r>
          </w:p>
          <w:p w14:paraId="7F216FB7" w14:textId="5C239495" w:rsidR="00CF3637" w:rsidRDefault="00E67161" w:rsidP="00541D8B">
            <w:pPr>
              <w:pStyle w:val="Normalbulletsublist"/>
            </w:pPr>
            <w:r>
              <w:t>screws/nails</w:t>
            </w:r>
          </w:p>
          <w:p w14:paraId="1BD7D15E" w14:textId="5C07EFCB" w:rsidR="00CF3637" w:rsidRDefault="00E67161" w:rsidP="00541D8B">
            <w:pPr>
              <w:pStyle w:val="Normalbulletsublist"/>
            </w:pPr>
            <w:r>
              <w:t>direct bond</w:t>
            </w:r>
          </w:p>
          <w:p w14:paraId="68DF87EA" w14:textId="37872C84" w:rsidR="00CF3637" w:rsidRDefault="00E67161" w:rsidP="00541D8B">
            <w:pPr>
              <w:pStyle w:val="Normalbulletsublist"/>
            </w:pPr>
            <w:r>
              <w:t>standard and performance plasterboards</w:t>
            </w:r>
          </w:p>
          <w:p w14:paraId="7F786926" w14:textId="57C3A1C3" w:rsidR="00CF3637" w:rsidRDefault="004279F1" w:rsidP="00541D8B">
            <w:pPr>
              <w:pStyle w:val="Normalbulletsublist"/>
            </w:pPr>
            <w:r>
              <w:t>G</w:t>
            </w:r>
            <w:r w:rsidR="00E67161">
              <w:t xml:space="preserve">lass </w:t>
            </w:r>
            <w:r>
              <w:t>R</w:t>
            </w:r>
            <w:r w:rsidR="00E67161">
              <w:t xml:space="preserve">einforced </w:t>
            </w:r>
            <w:r>
              <w:t>G</w:t>
            </w:r>
            <w:r w:rsidR="00E67161">
              <w:t>ypsum (GRG)</w:t>
            </w:r>
          </w:p>
          <w:p w14:paraId="0892A211" w14:textId="77777777" w:rsidR="00CF3637" w:rsidRDefault="00E67161" w:rsidP="00541D8B">
            <w:pPr>
              <w:pStyle w:val="Normalbulletsublist"/>
            </w:pPr>
            <w:r>
              <w:t>various dry lining systems</w:t>
            </w:r>
          </w:p>
          <w:p w14:paraId="5AC099BF" w14:textId="07219F91" w:rsidR="000E7C90" w:rsidRPr="00CD50CC" w:rsidRDefault="00E67161" w:rsidP="00541D8B">
            <w:pPr>
              <w:pStyle w:val="Normalbulletsublist"/>
            </w:pPr>
            <w:r>
              <w:t>modern render systems</w:t>
            </w:r>
            <w:r w:rsidR="00323FDD">
              <w:t>.</w:t>
            </w:r>
            <w:r>
              <w:t xml:space="preserve"> </w:t>
            </w:r>
          </w:p>
        </w:tc>
      </w:tr>
      <w:tr w:rsidR="000E7C90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E7C90" w:rsidRPr="00CD50CC" w:rsidRDefault="000E7C90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D559B0F" w:rsidR="000E7C90" w:rsidRPr="00CD50CC" w:rsidRDefault="00593B08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</w:pPr>
            <w:r w:rsidRPr="00593B08">
              <w:t>21st century construction techniques and technologies</w:t>
            </w:r>
            <w:r w:rsidR="00C9312B">
              <w:t xml:space="preserve"> for chosen trade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25A5598" w14:textId="0E8A5AD2" w:rsidR="000E7C90" w:rsidRDefault="00E67161" w:rsidP="00C85C02">
            <w:pPr>
              <w:pStyle w:val="Normalbulletlist"/>
            </w:pPr>
            <w:r>
              <w:t xml:space="preserve">Learners </w:t>
            </w:r>
            <w:r w:rsidR="000156D9">
              <w:t xml:space="preserve">to </w:t>
            </w:r>
            <w:r>
              <w:t>research modern</w:t>
            </w:r>
            <w:r w:rsidR="001C3940">
              <w:t>-</w:t>
            </w:r>
            <w:r>
              <w:t>day application techniques of internal and external plaster/render materials such as machine projection applications for airless systems, modern render systems and gypsum systems</w:t>
            </w:r>
            <w:r w:rsidR="004628DC">
              <w:t>.</w:t>
            </w:r>
          </w:p>
          <w:p w14:paraId="3471F692" w14:textId="07FAD335" w:rsidR="00E67161" w:rsidRDefault="00E67161" w:rsidP="00C85C02">
            <w:pPr>
              <w:pStyle w:val="Normalbulletlist"/>
            </w:pPr>
            <w:r>
              <w:t xml:space="preserve">Learners </w:t>
            </w:r>
            <w:r w:rsidR="000156D9">
              <w:t xml:space="preserve">to </w:t>
            </w:r>
            <w:r>
              <w:t>research beads and trims</w:t>
            </w:r>
            <w:r w:rsidR="00F757CF">
              <w:t xml:space="preserve"> extensively used for modern internal and external finishes</w:t>
            </w:r>
            <w:r w:rsidR="004628DC">
              <w:t>.</w:t>
            </w:r>
          </w:p>
          <w:p w14:paraId="774DEDB9" w14:textId="3C8556D2" w:rsidR="00F757CF" w:rsidRDefault="00F757CF" w:rsidP="00C85C02">
            <w:pPr>
              <w:pStyle w:val="Normalbulletlist"/>
            </w:pPr>
            <w:r>
              <w:lastRenderedPageBreak/>
              <w:t xml:space="preserve">Learners </w:t>
            </w:r>
            <w:r w:rsidR="00783581">
              <w:t xml:space="preserve">to </w:t>
            </w:r>
            <w:r>
              <w:t>research and list performance plasterboards and render carrier boards used in 21</w:t>
            </w:r>
            <w:r w:rsidRPr="00670D7A">
              <w:t>st</w:t>
            </w:r>
            <w:r>
              <w:t xml:space="preserve"> century applications</w:t>
            </w:r>
            <w:r w:rsidR="004628DC">
              <w:t>.</w:t>
            </w:r>
          </w:p>
          <w:p w14:paraId="6BC2D617" w14:textId="19E8984E" w:rsidR="00F757CF" w:rsidRPr="00CD50CC" w:rsidRDefault="00F757CF" w:rsidP="00C85C02">
            <w:pPr>
              <w:pStyle w:val="Normalbulletlist"/>
            </w:pPr>
            <w:r>
              <w:t xml:space="preserve">Learners </w:t>
            </w:r>
            <w:r w:rsidR="00134A30">
              <w:t xml:space="preserve">to </w:t>
            </w:r>
            <w:r>
              <w:t>have a knowledge of tools and resources used in 21</w:t>
            </w:r>
            <w:r w:rsidRPr="00670D7A">
              <w:t>st</w:t>
            </w:r>
            <w:r>
              <w:t xml:space="preserve"> century plastering and rendering applications </w:t>
            </w:r>
            <w:proofErr w:type="gramStart"/>
            <w:r>
              <w:t>e.g.</w:t>
            </w:r>
            <w:proofErr w:type="gramEnd"/>
            <w:r>
              <w:t xml:space="preserve"> collated screwdrivers, telescopic board props, projection plastering/render machines, mechanical sponge floats, etc. </w:t>
            </w:r>
          </w:p>
        </w:tc>
      </w:tr>
      <w:tr w:rsidR="007F66D3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853606F" w14:textId="0B6E6247" w:rsidR="007F66D3" w:rsidRPr="00CD50CC" w:rsidRDefault="007F66D3" w:rsidP="00C85C02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  <w:contextualSpacing w:val="0"/>
            </w:pPr>
            <w:r w:rsidRPr="00AD1222">
              <w:lastRenderedPageBreak/>
              <w:t>Understand the relationship between trades and the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178B1016" w:rsidR="007F66D3" w:rsidRPr="00320FFB" w:rsidRDefault="007F66D3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4B2499">
              <w:rPr>
                <w:bCs/>
                <w:lang w:val="ru-RU"/>
              </w:rPr>
              <w:t>Industry regulation</w:t>
            </w:r>
            <w:r w:rsidR="007C2F10">
              <w:rPr>
                <w:bCs/>
              </w:rPr>
              <w:t xml:space="preserve"> and</w:t>
            </w:r>
            <w:r w:rsidRPr="004B2499">
              <w:rPr>
                <w:bCs/>
                <w:lang w:val="ru-RU"/>
              </w:rPr>
              <w:t xml:space="preserve"> sustainability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FDED16" w14:textId="2FF33C78" w:rsidR="007F66D3" w:rsidRDefault="00C83298" w:rsidP="00C83298">
            <w:pPr>
              <w:pStyle w:val="Normalbulletlist"/>
            </w:pPr>
            <w:r>
              <w:t xml:space="preserve">Learners to research government policy on sustainability </w:t>
            </w:r>
            <w:proofErr w:type="gramStart"/>
            <w:r>
              <w:t>e.g.</w:t>
            </w:r>
            <w:proofErr w:type="gramEnd"/>
            <w:r>
              <w:t xml:space="preserve"> Environment </w:t>
            </w:r>
            <w:r w:rsidR="00D02039">
              <w:t>(</w:t>
            </w:r>
            <w:r>
              <w:t>Wales</w:t>
            </w:r>
            <w:r w:rsidR="00D02039">
              <w:t>)</w:t>
            </w:r>
            <w:r>
              <w:t xml:space="preserve"> Act 2016, Environment</w:t>
            </w:r>
            <w:r w:rsidR="00957819">
              <w:t>al</w:t>
            </w:r>
            <w:r>
              <w:t xml:space="preserve"> Protection Act, Hazardous Waste</w:t>
            </w:r>
            <w:r w:rsidR="00BC25BA">
              <w:t xml:space="preserve"> (England and Wales)</w:t>
            </w:r>
            <w:r>
              <w:t xml:space="preserve"> Regulations, Control of </w:t>
            </w:r>
            <w:r w:rsidR="00452423">
              <w:t>P</w:t>
            </w:r>
            <w:r>
              <w:t>ollution Act</w:t>
            </w:r>
            <w:r w:rsidR="00134A30">
              <w:t>.</w:t>
            </w:r>
          </w:p>
          <w:p w14:paraId="5A5CEA9B" w14:textId="16AA075E" w:rsidR="00C83298" w:rsidRDefault="00C83298" w:rsidP="00C83298">
            <w:pPr>
              <w:pStyle w:val="Normalbulletlist"/>
            </w:pPr>
            <w:r>
              <w:t xml:space="preserve">Learners to research Building Research Establishment </w:t>
            </w:r>
            <w:r w:rsidR="00BD6D65">
              <w:t xml:space="preserve">Environmental </w:t>
            </w:r>
            <w:r>
              <w:t>Assessment Method (BREEAM) and how it fits into 21</w:t>
            </w:r>
            <w:r w:rsidRPr="00670D7A">
              <w:t>st</w:t>
            </w:r>
            <w:r>
              <w:t xml:space="preserve"> century construction practice</w:t>
            </w:r>
            <w:r w:rsidR="00BD6D65">
              <w:t>.</w:t>
            </w:r>
          </w:p>
          <w:p w14:paraId="13E95BE5" w14:textId="5F2B1CA7" w:rsidR="004E5493" w:rsidRPr="004D323F" w:rsidRDefault="004D323F" w:rsidP="00C83298">
            <w:pPr>
              <w:pStyle w:val="Normalbulletlist"/>
            </w:pPr>
            <w:r w:rsidRPr="00AF751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AF7518">
              <w:rPr>
                <w:rFonts w:cs="Arial"/>
              </w:rPr>
              <w:t xml:space="preserve"> know how design of construction projects can help with energy efficiency and the link to smart homes and smart technologies, such as sensors and controls.</w:t>
            </w:r>
          </w:p>
          <w:p w14:paraId="430A0555" w14:textId="395613B0" w:rsidR="004D323F" w:rsidRPr="004D323F" w:rsidRDefault="004D323F" w:rsidP="00C83298">
            <w:pPr>
              <w:pStyle w:val="Normalbulletlist"/>
            </w:pPr>
            <w:r w:rsidRPr="00AF751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AF7518">
              <w:rPr>
                <w:rFonts w:cs="Arial"/>
              </w:rPr>
              <w:t xml:space="preserve"> know the essentials of building energy management systems and should</w:t>
            </w:r>
            <w:r w:rsidR="00323773">
              <w:rPr>
                <w:rFonts w:cs="Arial"/>
              </w:rPr>
              <w:t xml:space="preserve"> be able to</w:t>
            </w:r>
            <w:r w:rsidRPr="00AF7518" w:rsidDel="002B4388">
              <w:rPr>
                <w:rFonts w:cs="Arial"/>
              </w:rPr>
              <w:t xml:space="preserve"> </w:t>
            </w:r>
            <w:r w:rsidRPr="00AF7518">
              <w:rPr>
                <w:rFonts w:cs="Arial"/>
              </w:rPr>
              <w:t>link this to the environmental technologies covered in learning outcome 2.</w:t>
            </w:r>
          </w:p>
          <w:p w14:paraId="5A688B0E" w14:textId="6478C078" w:rsidR="004D323F" w:rsidRDefault="004D323F" w:rsidP="00C83298">
            <w:pPr>
              <w:pStyle w:val="Normalbulletlist"/>
            </w:pPr>
            <w:r w:rsidRPr="00AF7518">
              <w:rPr>
                <w:rFonts w:cs="Arial"/>
              </w:rPr>
              <w:t xml:space="preserve">Learners </w:t>
            </w:r>
            <w:r>
              <w:rPr>
                <w:rFonts w:cs="Arial"/>
              </w:rPr>
              <w:t>to</w:t>
            </w:r>
            <w:r w:rsidRPr="00AF7518">
              <w:rPr>
                <w:rFonts w:cs="Arial"/>
              </w:rPr>
              <w:t xml:space="preserve"> know the main aspects of relevant Building Regulations Part L, and Documents L1A and </w:t>
            </w:r>
            <w:r w:rsidRPr="00342168">
              <w:rPr>
                <w:rFonts w:cs="Arial"/>
              </w:rPr>
              <w:t xml:space="preserve">L1B, and the Domestic Building Services Compliance Guide.  </w:t>
            </w:r>
          </w:p>
          <w:p w14:paraId="6EB6ADDA" w14:textId="78217E9B" w:rsidR="00C83298" w:rsidRDefault="00C83298" w:rsidP="00C83298">
            <w:pPr>
              <w:pStyle w:val="Normalbulletlist"/>
            </w:pPr>
            <w:r>
              <w:t xml:space="preserve">Learners to have knowledge of </w:t>
            </w:r>
            <w:proofErr w:type="spellStart"/>
            <w:r>
              <w:t>Passivhaus</w:t>
            </w:r>
            <w:proofErr w:type="spellEnd"/>
            <w:r>
              <w:t xml:space="preserve"> types of construction techniques to achieve </w:t>
            </w:r>
            <w:r w:rsidR="007B11E2">
              <w:t>government initiative and policy on zero carbon footprint</w:t>
            </w:r>
            <w:r w:rsidR="00A45213">
              <w:t>.</w:t>
            </w:r>
          </w:p>
          <w:p w14:paraId="0707084E" w14:textId="6CCAD66B" w:rsidR="007B11E2" w:rsidRPr="00CD50CC" w:rsidRDefault="007B11E2" w:rsidP="004F47B5">
            <w:pPr>
              <w:pStyle w:val="Normalbulletlist"/>
            </w:pPr>
            <w:r>
              <w:t xml:space="preserve">Learners </w:t>
            </w:r>
            <w:r w:rsidR="00A45213">
              <w:t xml:space="preserve">to </w:t>
            </w:r>
            <w:r>
              <w:t>know what should be done when there is a discovery of protected species during the construction process</w:t>
            </w:r>
            <w:r w:rsidR="00532B7F">
              <w:t>,</w:t>
            </w:r>
            <w:r>
              <w:t xml:space="preserve"> </w:t>
            </w:r>
            <w:proofErr w:type="gramStart"/>
            <w:r>
              <w:t>e.g.</w:t>
            </w:r>
            <w:proofErr w:type="gramEnd"/>
            <w:r>
              <w:t xml:space="preserve"> bats and newts</w:t>
            </w:r>
            <w:r w:rsidR="00532B7F">
              <w:t>,</w:t>
            </w:r>
            <w:r w:rsidR="004E5493">
              <w:t xml:space="preserve"> as required by </w:t>
            </w:r>
            <w:r w:rsidR="00EB7906">
              <w:t>t</w:t>
            </w:r>
            <w:r w:rsidR="004E5493">
              <w:t xml:space="preserve">he </w:t>
            </w:r>
            <w:r w:rsidR="004E5493" w:rsidRPr="00AF7518">
              <w:t>Conservation of Habitats and Species Regulations 2010</w:t>
            </w:r>
            <w:r w:rsidR="00070506">
              <w:t>.</w:t>
            </w:r>
          </w:p>
        </w:tc>
      </w:tr>
      <w:tr w:rsidR="007F66D3" w:rsidRPr="00D979B1" w14:paraId="5D3021E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01D5F2C" w14:textId="77777777" w:rsidR="007F66D3" w:rsidRPr="00AD1222" w:rsidRDefault="007F66D3" w:rsidP="00C2117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D8C0C1" w14:textId="3C54A58C" w:rsidR="007F66D3" w:rsidRPr="004B2499" w:rsidRDefault="007F66D3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9C2C57">
              <w:rPr>
                <w:bCs/>
                <w:lang w:val="ru-RU"/>
              </w:rPr>
              <w:t>Ecological considerations and principles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6CC76B" w14:textId="01B164FD" w:rsidR="007F66D3" w:rsidRDefault="007B11E2" w:rsidP="0048487B">
            <w:pPr>
              <w:pStyle w:val="Normalbulletlist"/>
            </w:pPr>
            <w:r>
              <w:t xml:space="preserve">Learners to have a knowledge of government policy and ecological considerations when undergoing any work which may affect protected wildlife and habitats </w:t>
            </w:r>
            <w:proofErr w:type="gramStart"/>
            <w:r>
              <w:t>e.g.</w:t>
            </w:r>
            <w:proofErr w:type="gramEnd"/>
            <w:r>
              <w:t xml:space="preserve"> nesting birds</w:t>
            </w:r>
            <w:r w:rsidR="00534F25">
              <w:t>, rare plant species</w:t>
            </w:r>
            <w:r w:rsidR="00213AC1">
              <w:t>.</w:t>
            </w:r>
          </w:p>
          <w:p w14:paraId="73674E34" w14:textId="17991348" w:rsidR="00534F25" w:rsidRPr="00CD50CC" w:rsidRDefault="00534F25" w:rsidP="0048487B">
            <w:pPr>
              <w:pStyle w:val="Normalbulletlist"/>
            </w:pPr>
            <w:r>
              <w:t>Learners to understand implications for future development to flood plains and the effect this could have on the buildings and surrounding areas</w:t>
            </w:r>
            <w:r w:rsidR="00573EF7">
              <w:t>.</w:t>
            </w:r>
          </w:p>
        </w:tc>
      </w:tr>
      <w:tr w:rsidR="007F66D3" w:rsidRPr="00D979B1" w14:paraId="37AEFE2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C407D67" w14:textId="77777777" w:rsidR="007F66D3" w:rsidRPr="00AD1222" w:rsidRDefault="007F66D3" w:rsidP="00C2117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17C1B3" w14:textId="4C63262D" w:rsidR="007F66D3" w:rsidRPr="009C2C57" w:rsidRDefault="007F66D3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874AD3">
              <w:rPr>
                <w:bCs/>
                <w:lang w:val="ru-RU"/>
              </w:rPr>
              <w:t>Sustainable approaches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D4AB3A" w14:textId="0D7BF7FC" w:rsidR="007F66D3" w:rsidRDefault="00534F25" w:rsidP="0048487B">
            <w:pPr>
              <w:pStyle w:val="Normalbulletlist"/>
            </w:pPr>
            <w:r>
              <w:t>Learners to have a knowledge of British Gypsum products which are user friendly for 21</w:t>
            </w:r>
            <w:r w:rsidRPr="00670D7A">
              <w:t>st</w:t>
            </w:r>
            <w:r>
              <w:t xml:space="preserve"> century applications under sustainable construction </w:t>
            </w:r>
            <w:proofErr w:type="gramStart"/>
            <w:r>
              <w:t>e.g.</w:t>
            </w:r>
            <w:proofErr w:type="gramEnd"/>
            <w:r>
              <w:t xml:space="preserve"> </w:t>
            </w:r>
            <w:proofErr w:type="spellStart"/>
            <w:r w:rsidR="00A363AE">
              <w:t>Thistle</w:t>
            </w:r>
            <w:r w:rsidR="00BF0EBC">
              <w:t>P</w:t>
            </w:r>
            <w:r w:rsidR="00A363AE">
              <w:t>ro</w:t>
            </w:r>
            <w:proofErr w:type="spellEnd"/>
            <w:r w:rsidR="00A363AE">
              <w:t xml:space="preserve"> </w:t>
            </w:r>
            <w:proofErr w:type="spellStart"/>
            <w:r w:rsidR="00A363AE">
              <w:t>PureFinish</w:t>
            </w:r>
            <w:proofErr w:type="spellEnd"/>
            <w:r w:rsidR="00BF0EBC">
              <w:t>.</w:t>
            </w:r>
            <w:r w:rsidR="00A363AE">
              <w:t xml:space="preserve"> </w:t>
            </w:r>
          </w:p>
          <w:p w14:paraId="076E90A0" w14:textId="3416B659" w:rsidR="00A363AE" w:rsidRPr="00CD50CC" w:rsidRDefault="00A363AE" w:rsidP="0048487B">
            <w:pPr>
              <w:pStyle w:val="Normalbulletlist"/>
            </w:pPr>
            <w:r>
              <w:t>Learners to list various ways a building can offset its carbon footprint to meet 21</w:t>
            </w:r>
            <w:r w:rsidRPr="00670D7A">
              <w:t>st</w:t>
            </w:r>
            <w:r>
              <w:t xml:space="preserve"> century building targets and expectations</w:t>
            </w:r>
            <w:r w:rsidR="00F57EF4">
              <w:t>.</w:t>
            </w:r>
            <w:r>
              <w:t xml:space="preserve"> </w:t>
            </w:r>
          </w:p>
        </w:tc>
      </w:tr>
      <w:tr w:rsidR="007F66D3" w:rsidRPr="00D979B1" w14:paraId="47D8387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B025E6" w14:textId="77777777" w:rsidR="007F66D3" w:rsidRPr="00AD1222" w:rsidRDefault="007F66D3" w:rsidP="00C2117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4AA95BC" w14:textId="7B227F87" w:rsidR="007F66D3" w:rsidRPr="00874AD3" w:rsidRDefault="007F66D3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7F66D3">
              <w:rPr>
                <w:bCs/>
                <w:lang w:val="ru-RU"/>
              </w:rPr>
              <w:t xml:space="preserve">Waste disposal in </w:t>
            </w:r>
            <w:r w:rsidR="002C3F0E">
              <w:rPr>
                <w:bCs/>
              </w:rPr>
              <w:t>construction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DD5E62" w14:textId="77777777" w:rsidR="004D323F" w:rsidRDefault="004D323F" w:rsidP="00670D7A">
            <w:pPr>
              <w:pStyle w:val="Normalbulletlist"/>
            </w:pPr>
            <w:r>
              <w:t xml:space="preserve">Learners to have a knowledge of why </w:t>
            </w:r>
            <w:r w:rsidRPr="00342168">
              <w:t>accurately ordering materials reduce</w:t>
            </w:r>
            <w:r>
              <w:t>s</w:t>
            </w:r>
            <w:r w:rsidRPr="00342168">
              <w:t xml:space="preserve"> site waste and save</w:t>
            </w:r>
            <w:r>
              <w:t>s</w:t>
            </w:r>
            <w:r w:rsidRPr="00342168">
              <w:t xml:space="preserve"> money on over-ordering and waste disposal costs.  </w:t>
            </w:r>
          </w:p>
          <w:p w14:paraId="2372E10A" w14:textId="52F530A9" w:rsidR="004D323F" w:rsidRPr="00670D7A" w:rsidRDefault="004D323F" w:rsidP="004D323F">
            <w:pPr>
              <w:pStyle w:val="Normalbulletlist"/>
              <w:rPr>
                <w:b/>
              </w:rPr>
            </w:pPr>
            <w:r>
              <w:t>Learners to have a knowledge of how s</w:t>
            </w:r>
            <w:r w:rsidRPr="00342168">
              <w:t xml:space="preserve">toring materials in an appropriate manner and controlling </w:t>
            </w:r>
            <w:r>
              <w:t>stock</w:t>
            </w:r>
            <w:r w:rsidRPr="00342168">
              <w:t xml:space="preserve"> </w:t>
            </w:r>
            <w:r>
              <w:t>reduces waste</w:t>
            </w:r>
            <w:r w:rsidR="0099283C">
              <w:t>.</w:t>
            </w:r>
          </w:p>
          <w:p w14:paraId="050D034A" w14:textId="555AB019" w:rsidR="004D323F" w:rsidRPr="00670D7A" w:rsidRDefault="004D323F" w:rsidP="004D323F">
            <w:pPr>
              <w:pStyle w:val="Normalbulletlist"/>
              <w:rPr>
                <w:b/>
              </w:rPr>
            </w:pPr>
            <w:r>
              <w:t>Learners to have a knowledge of the</w:t>
            </w:r>
            <w:r w:rsidRPr="00342168">
              <w:t xml:space="preserve"> appropriate sorting of waste on site</w:t>
            </w:r>
            <w:r>
              <w:t xml:space="preserve"> to meet current reg</w:t>
            </w:r>
            <w:r w:rsidR="00CD057B">
              <w:t>ulation</w:t>
            </w:r>
            <w:r>
              <w:t>s</w:t>
            </w:r>
            <w:r w:rsidRPr="00342168">
              <w:t>.</w:t>
            </w:r>
          </w:p>
          <w:p w14:paraId="3EE5BFE9" w14:textId="4B868D58" w:rsidR="007F66D3" w:rsidRDefault="00A363AE" w:rsidP="0048487B">
            <w:pPr>
              <w:pStyle w:val="Normalbulletlist"/>
            </w:pPr>
            <w:r>
              <w:t xml:space="preserve">Learners </w:t>
            </w:r>
            <w:r w:rsidR="00F57EF4">
              <w:t xml:space="preserve">to </w:t>
            </w:r>
            <w:r>
              <w:t>have a knowledge of modern methods of waste disposal and recycling of construction materials</w:t>
            </w:r>
            <w:r w:rsidR="00F57EF4">
              <w:t>.</w:t>
            </w:r>
          </w:p>
          <w:p w14:paraId="7714495B" w14:textId="595CD5B7" w:rsidR="00A363AE" w:rsidRDefault="00A363AE" w:rsidP="0048487B">
            <w:pPr>
              <w:pStyle w:val="Normalbulletlist"/>
            </w:pPr>
            <w:r>
              <w:t xml:space="preserve">Learners </w:t>
            </w:r>
            <w:r w:rsidR="00F57EF4">
              <w:t xml:space="preserve">to </w:t>
            </w:r>
            <w:r>
              <w:t xml:space="preserve">research </w:t>
            </w:r>
            <w:r w:rsidR="007C09E8">
              <w:t>Waste and Resources Action Programme</w:t>
            </w:r>
            <w:r>
              <w:t xml:space="preserve"> (</w:t>
            </w:r>
            <w:r w:rsidR="007C09E8">
              <w:t>WRAP</w:t>
            </w:r>
            <w:r>
              <w:t xml:space="preserve">) </w:t>
            </w:r>
            <w:r w:rsidR="00876945">
              <w:t>and link this to on</w:t>
            </w:r>
            <w:r w:rsidR="00481AC9">
              <w:t>-</w:t>
            </w:r>
            <w:r w:rsidR="00876945">
              <w:t>site construction waste disposal initiatives</w:t>
            </w:r>
            <w:r w:rsidR="00C0400C">
              <w:t>.</w:t>
            </w:r>
          </w:p>
          <w:p w14:paraId="4A9F4801" w14:textId="511ECFD0" w:rsidR="00876945" w:rsidRDefault="00876945" w:rsidP="0048487B">
            <w:pPr>
              <w:pStyle w:val="Normalbulletlist"/>
            </w:pPr>
            <w:r>
              <w:t xml:space="preserve">Learners </w:t>
            </w:r>
            <w:r w:rsidR="00C0400C">
              <w:t xml:space="preserve">to </w:t>
            </w:r>
            <w:r>
              <w:t xml:space="preserve">know about the disposal of hazardous waste and link this to </w:t>
            </w:r>
            <w:r w:rsidR="004D5346">
              <w:t>Control of Substances Hazardous to Health</w:t>
            </w:r>
            <w:r>
              <w:t xml:space="preserve"> </w:t>
            </w:r>
            <w:r w:rsidR="000F6AAE">
              <w:t xml:space="preserve">(COSHH) </w:t>
            </w:r>
            <w:r w:rsidR="006E26B1">
              <w:t>R</w:t>
            </w:r>
            <w:r>
              <w:t>egulations</w:t>
            </w:r>
            <w:r w:rsidR="006E26B1">
              <w:t>.</w:t>
            </w:r>
          </w:p>
          <w:p w14:paraId="4F3F3B71" w14:textId="26173A47" w:rsidR="004D323F" w:rsidRPr="00670D7A" w:rsidRDefault="004D323F" w:rsidP="00E43195">
            <w:pPr>
              <w:pStyle w:val="Normalbulletlist"/>
              <w:rPr>
                <w:b/>
              </w:rPr>
            </w:pPr>
            <w:r w:rsidRPr="00342168">
              <w:t xml:space="preserve">Learners </w:t>
            </w:r>
            <w:r w:rsidR="00E43195">
              <w:t>to</w:t>
            </w:r>
            <w:r w:rsidRPr="00342168">
              <w:t xml:space="preserve"> know the key features of regulations including the Environmental Protection Act, The Hazardous Waste Regulations, </w:t>
            </w:r>
            <w:r w:rsidRPr="00342168">
              <w:lastRenderedPageBreak/>
              <w:t>Pollution Prevention and Control Act, Control of Pollution Act</w:t>
            </w:r>
            <w:r w:rsidR="00647BF4">
              <w:t xml:space="preserve"> and</w:t>
            </w:r>
            <w:r w:rsidRPr="00342168">
              <w:t xml:space="preserve"> The Waste Electrical and Electronic Equipment Regulations.  </w:t>
            </w:r>
          </w:p>
        </w:tc>
      </w:tr>
      <w:tr w:rsidR="0048487B" w:rsidRPr="00D979B1" w14:paraId="35A52782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4C1B837" w14:textId="2BDFF9E7" w:rsidR="0048487B" w:rsidRPr="00AD1222" w:rsidRDefault="0004198C" w:rsidP="00264F23">
            <w:pPr>
              <w:pStyle w:val="ListParagraph"/>
              <w:numPr>
                <w:ilvl w:val="0"/>
                <w:numId w:val="38"/>
              </w:numPr>
              <w:adjustRightInd w:val="0"/>
              <w:spacing w:line="240" w:lineRule="auto"/>
            </w:pPr>
            <w:r w:rsidRPr="0004198C">
              <w:lastRenderedPageBreak/>
              <w:t xml:space="preserve">Understand connected practice in the construction </w:t>
            </w:r>
            <w:r w:rsidR="00CC4ACC">
              <w:t>in</w:t>
            </w:r>
            <w:r w:rsidR="009E37E6">
              <w:t>d</w:t>
            </w:r>
            <w:r w:rsidR="00CC4ACC">
              <w:t>ustry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C4D286" w14:textId="45FF78EB" w:rsidR="0048487B" w:rsidRPr="007F66D3" w:rsidRDefault="00A945FA" w:rsidP="00C85C02">
            <w:pPr>
              <w:pStyle w:val="ListParagraph"/>
              <w:numPr>
                <w:ilvl w:val="1"/>
                <w:numId w:val="38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A945FA">
              <w:rPr>
                <w:bCs/>
              </w:rPr>
              <w:t>Interdependencies between trades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D689EF" w14:textId="1F0FD404" w:rsidR="0048487B" w:rsidRDefault="00876945" w:rsidP="00E173E4">
            <w:pPr>
              <w:pStyle w:val="Normalbulletlist"/>
            </w:pPr>
            <w:r>
              <w:t xml:space="preserve">Learners </w:t>
            </w:r>
            <w:r w:rsidR="000F6AAE">
              <w:t xml:space="preserve">to </w:t>
            </w:r>
            <w:r>
              <w:t>engage in a project scenario of a task of their choice and link this to how to communicate with all other trades within the process regarding work</w:t>
            </w:r>
            <w:r w:rsidR="009E436A">
              <w:t>ing</w:t>
            </w:r>
            <w:r>
              <w:t xml:space="preserve"> together collaboratively to complete a successful project</w:t>
            </w:r>
            <w:r w:rsidR="009E436A">
              <w:t>.</w:t>
            </w:r>
          </w:p>
          <w:p w14:paraId="2C524F7C" w14:textId="77777777" w:rsidR="00E43195" w:rsidRPr="00670D7A" w:rsidRDefault="00E43195" w:rsidP="00E43195">
            <w:pPr>
              <w:pStyle w:val="Normalbulletlist"/>
              <w:rPr>
                <w:b/>
              </w:rPr>
            </w:pPr>
            <w:r w:rsidRPr="00342168">
              <w:t xml:space="preserve">Learners to understand how individual trades work with each other and interact. </w:t>
            </w:r>
          </w:p>
          <w:p w14:paraId="17CD2F88" w14:textId="2B4779EF" w:rsidR="00E43195" w:rsidRPr="00670D7A" w:rsidRDefault="00E43195" w:rsidP="00E43195">
            <w:pPr>
              <w:pStyle w:val="Normalbulletlist"/>
              <w:rPr>
                <w:b/>
              </w:rPr>
            </w:pPr>
            <w:r w:rsidRPr="00380674">
              <w:t xml:space="preserve">Learners </w:t>
            </w:r>
            <w:r>
              <w:t>to</w:t>
            </w:r>
            <w:r w:rsidRPr="00380674">
              <w:t xml:space="preserve"> understand first and second fix</w:t>
            </w:r>
            <w:r>
              <w:t xml:space="preserve"> aspects of construction trades</w:t>
            </w:r>
            <w:r w:rsidRPr="00380674">
              <w:t xml:space="preserve">, the types of problems that can arise and how to mitigate them. 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8733" w14:textId="77777777" w:rsidR="000209C4" w:rsidRDefault="000209C4">
      <w:pPr>
        <w:spacing w:before="0" w:after="0"/>
      </w:pPr>
      <w:r>
        <w:separator/>
      </w:r>
    </w:p>
  </w:endnote>
  <w:endnote w:type="continuationSeparator" w:id="0">
    <w:p w14:paraId="29621AA9" w14:textId="77777777" w:rsidR="000209C4" w:rsidRDefault="000209C4">
      <w:pPr>
        <w:spacing w:before="0" w:after="0"/>
      </w:pPr>
      <w:r>
        <w:continuationSeparator/>
      </w:r>
    </w:p>
  </w:endnote>
  <w:endnote w:type="continuationNotice" w:id="1">
    <w:p w14:paraId="70E3B49C" w14:textId="77777777" w:rsidR="000209C4" w:rsidRDefault="000209C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1D26" w14:textId="77777777" w:rsidR="00696A5A" w:rsidRDefault="00696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5E9B9384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A5509E" w:rsidRPr="00A5509E">
      <w:t xml:space="preserve"> </w:t>
    </w:r>
    <w:r w:rsidR="00A5509E" w:rsidRPr="00A5509E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DD1640">
      <w:fldChar w:fldCharType="begin"/>
    </w:r>
    <w:r w:rsidR="00DD1640">
      <w:instrText xml:space="preserve"> NUMPAGES   \* MERGEFORMAT </w:instrText>
    </w:r>
    <w:r w:rsidR="00DD1640">
      <w:fldChar w:fldCharType="separate"/>
    </w:r>
    <w:r w:rsidR="00041DCF">
      <w:t>3</w:t>
    </w:r>
    <w:r w:rsidR="00DD164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B738" w14:textId="77777777" w:rsidR="00696A5A" w:rsidRDefault="00696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1B339" w14:textId="77777777" w:rsidR="000209C4" w:rsidRDefault="000209C4">
      <w:pPr>
        <w:spacing w:before="0" w:after="0"/>
      </w:pPr>
      <w:r>
        <w:separator/>
      </w:r>
    </w:p>
  </w:footnote>
  <w:footnote w:type="continuationSeparator" w:id="0">
    <w:p w14:paraId="49BED1DE" w14:textId="77777777" w:rsidR="000209C4" w:rsidRDefault="000209C4">
      <w:pPr>
        <w:spacing w:before="0" w:after="0"/>
      </w:pPr>
      <w:r>
        <w:continuationSeparator/>
      </w:r>
    </w:p>
  </w:footnote>
  <w:footnote w:type="continuationNotice" w:id="1">
    <w:p w14:paraId="0AE65B67" w14:textId="77777777" w:rsidR="000209C4" w:rsidRDefault="000209C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9F2A" w14:textId="77777777" w:rsidR="00696A5A" w:rsidRDefault="00696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4C8B20F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61DDFDBD">
      <w:rPr>
        <w:rFonts w:cs="Arial"/>
        <w:noProof/>
        <w:sz w:val="28"/>
        <w:szCs w:val="28"/>
      </w:rPr>
      <w:t>Progression</w:t>
    </w:r>
    <w:r w:rsidR="61DDFDBD" w:rsidRPr="00AB366F">
      <w:rPr>
        <w:sz w:val="28"/>
        <w:szCs w:val="28"/>
      </w:rPr>
      <w:t xml:space="preserve"> in </w:t>
    </w:r>
    <w:r w:rsidR="61DDFDBD" w:rsidRPr="000C2CE5">
      <w:rPr>
        <w:b/>
        <w:bCs/>
        <w:sz w:val="28"/>
        <w:szCs w:val="28"/>
      </w:rPr>
      <w:t>Construction</w:t>
    </w:r>
    <w:r w:rsidR="61DDFDBD">
      <w:rPr>
        <w:b/>
        <w:bCs/>
        <w:sz w:val="28"/>
        <w:szCs w:val="28"/>
      </w:rPr>
      <w:t xml:space="preserve"> (Level 2)</w:t>
    </w:r>
  </w:p>
  <w:p w14:paraId="1A87A6D0" w14:textId="796EB9F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252A0CF">
            <v:line id="Straight Connector 11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0E24E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692623">
      <w:rPr>
        <w:color w:val="0077E3"/>
        <w:sz w:val="24"/>
        <w:szCs w:val="28"/>
      </w:rPr>
      <w:t>2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CA546" w14:textId="77777777" w:rsidR="00696A5A" w:rsidRDefault="00696A5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7E2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20ED8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A8BA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80BB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3454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6669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92C3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1C6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4F56377"/>
    <w:multiLevelType w:val="hybridMultilevel"/>
    <w:tmpl w:val="468A7410"/>
    <w:lvl w:ilvl="0" w:tplc="0CA69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C22379"/>
    <w:multiLevelType w:val="hybridMultilevel"/>
    <w:tmpl w:val="0994B3EC"/>
    <w:lvl w:ilvl="0" w:tplc="DD0EFEF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A6CBE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CA2F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BC3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46FD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B0E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61E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A8BB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587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16556274"/>
    <w:multiLevelType w:val="hybridMultilevel"/>
    <w:tmpl w:val="CC06B2FE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740D5"/>
    <w:multiLevelType w:val="multilevel"/>
    <w:tmpl w:val="0809001F"/>
    <w:numStyleLink w:val="111111"/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D879A4"/>
    <w:multiLevelType w:val="hybridMultilevel"/>
    <w:tmpl w:val="C0AC4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8" w15:restartNumberingAfterBreak="0">
    <w:nsid w:val="6E325343"/>
    <w:multiLevelType w:val="multilevel"/>
    <w:tmpl w:val="0809001F"/>
    <w:numStyleLink w:val="111111"/>
  </w:abstractNum>
  <w:abstractNum w:abstractNumId="39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1" w15:restartNumberingAfterBreak="0">
    <w:nsid w:val="7A321976"/>
    <w:multiLevelType w:val="multilevel"/>
    <w:tmpl w:val="8CB44FC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42" w15:restartNumberingAfterBreak="0">
    <w:nsid w:val="7ACC452A"/>
    <w:multiLevelType w:val="hybridMultilevel"/>
    <w:tmpl w:val="2842B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25"/>
  </w:num>
  <w:num w:numId="5">
    <w:abstractNumId w:val="8"/>
  </w:num>
  <w:num w:numId="6">
    <w:abstractNumId w:val="3"/>
  </w:num>
  <w:num w:numId="7">
    <w:abstractNumId w:val="15"/>
  </w:num>
  <w:num w:numId="8">
    <w:abstractNumId w:val="39"/>
  </w:num>
  <w:num w:numId="9">
    <w:abstractNumId w:val="36"/>
  </w:num>
  <w:num w:numId="10">
    <w:abstractNumId w:val="3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9"/>
  </w:num>
  <w:num w:numId="21">
    <w:abstractNumId w:val="27"/>
  </w:num>
  <w:num w:numId="22">
    <w:abstractNumId w:val="29"/>
  </w:num>
  <w:num w:numId="23">
    <w:abstractNumId w:val="35"/>
  </w:num>
  <w:num w:numId="24">
    <w:abstractNumId w:val="28"/>
  </w:num>
  <w:num w:numId="25">
    <w:abstractNumId w:val="24"/>
  </w:num>
  <w:num w:numId="26">
    <w:abstractNumId w:val="38"/>
  </w:num>
  <w:num w:numId="27">
    <w:abstractNumId w:val="26"/>
  </w:num>
  <w:num w:numId="28">
    <w:abstractNumId w:val="40"/>
  </w:num>
  <w:num w:numId="29">
    <w:abstractNumId w:val="22"/>
  </w:num>
  <w:num w:numId="30">
    <w:abstractNumId w:val="11"/>
  </w:num>
  <w:num w:numId="31">
    <w:abstractNumId w:val="37"/>
  </w:num>
  <w:num w:numId="32">
    <w:abstractNumId w:val="23"/>
  </w:num>
  <w:num w:numId="33">
    <w:abstractNumId w:val="32"/>
  </w:num>
  <w:num w:numId="34">
    <w:abstractNumId w:val="17"/>
  </w:num>
  <w:num w:numId="35">
    <w:abstractNumId w:val="21"/>
  </w:num>
  <w:num w:numId="36">
    <w:abstractNumId w:val="20"/>
  </w:num>
  <w:num w:numId="37">
    <w:abstractNumId w:val="34"/>
  </w:num>
  <w:num w:numId="38">
    <w:abstractNumId w:val="14"/>
  </w:num>
  <w:num w:numId="39">
    <w:abstractNumId w:val="31"/>
  </w:num>
  <w:num w:numId="40">
    <w:abstractNumId w:val="12"/>
  </w:num>
  <w:num w:numId="41">
    <w:abstractNumId w:val="41"/>
  </w:num>
  <w:num w:numId="42">
    <w:abstractNumId w:val="30"/>
  </w:num>
  <w:num w:numId="43">
    <w:abstractNumId w:val="4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505F"/>
    <w:rsid w:val="000156D9"/>
    <w:rsid w:val="000209C4"/>
    <w:rsid w:val="00023668"/>
    <w:rsid w:val="00024B1B"/>
    <w:rsid w:val="00034C33"/>
    <w:rsid w:val="000355F3"/>
    <w:rsid w:val="0004198C"/>
    <w:rsid w:val="00041DCF"/>
    <w:rsid w:val="000462D0"/>
    <w:rsid w:val="00052D44"/>
    <w:rsid w:val="00055421"/>
    <w:rsid w:val="000625C1"/>
    <w:rsid w:val="00070506"/>
    <w:rsid w:val="00072D66"/>
    <w:rsid w:val="00077B8F"/>
    <w:rsid w:val="00077C10"/>
    <w:rsid w:val="000843D8"/>
    <w:rsid w:val="0008737F"/>
    <w:rsid w:val="00096A5E"/>
    <w:rsid w:val="000A1603"/>
    <w:rsid w:val="000A7B23"/>
    <w:rsid w:val="000B011E"/>
    <w:rsid w:val="000B172F"/>
    <w:rsid w:val="000B475D"/>
    <w:rsid w:val="000B53E7"/>
    <w:rsid w:val="000C2CE5"/>
    <w:rsid w:val="000E3286"/>
    <w:rsid w:val="000E7C90"/>
    <w:rsid w:val="000F1280"/>
    <w:rsid w:val="000F364F"/>
    <w:rsid w:val="000F4E6C"/>
    <w:rsid w:val="000F6AAE"/>
    <w:rsid w:val="000F6E1B"/>
    <w:rsid w:val="00100DE4"/>
    <w:rsid w:val="00102645"/>
    <w:rsid w:val="00106031"/>
    <w:rsid w:val="00106685"/>
    <w:rsid w:val="00124CF8"/>
    <w:rsid w:val="00126511"/>
    <w:rsid w:val="00134922"/>
    <w:rsid w:val="00134A30"/>
    <w:rsid w:val="00137E9C"/>
    <w:rsid w:val="00140C6A"/>
    <w:rsid w:val="0014157B"/>
    <w:rsid w:val="00143276"/>
    <w:rsid w:val="00153EEC"/>
    <w:rsid w:val="001647C0"/>
    <w:rsid w:val="0017259D"/>
    <w:rsid w:val="001756B3"/>
    <w:rsid w:val="001759B2"/>
    <w:rsid w:val="00183375"/>
    <w:rsid w:val="001873C2"/>
    <w:rsid w:val="00190709"/>
    <w:rsid w:val="00194C52"/>
    <w:rsid w:val="00195896"/>
    <w:rsid w:val="00197A45"/>
    <w:rsid w:val="001A5383"/>
    <w:rsid w:val="001A7852"/>
    <w:rsid w:val="001A7C68"/>
    <w:rsid w:val="001B4FD3"/>
    <w:rsid w:val="001C0CA5"/>
    <w:rsid w:val="001C3940"/>
    <w:rsid w:val="001D0346"/>
    <w:rsid w:val="001D2C30"/>
    <w:rsid w:val="001E0E05"/>
    <w:rsid w:val="001E1554"/>
    <w:rsid w:val="001E27E1"/>
    <w:rsid w:val="001E4F6C"/>
    <w:rsid w:val="001E6D3F"/>
    <w:rsid w:val="001F0861"/>
    <w:rsid w:val="001F60AD"/>
    <w:rsid w:val="00205182"/>
    <w:rsid w:val="002137A0"/>
    <w:rsid w:val="00213AC1"/>
    <w:rsid w:val="00256C1D"/>
    <w:rsid w:val="00264F23"/>
    <w:rsid w:val="00273525"/>
    <w:rsid w:val="002816AD"/>
    <w:rsid w:val="002A24D9"/>
    <w:rsid w:val="002A4F81"/>
    <w:rsid w:val="002C3F0E"/>
    <w:rsid w:val="002D44D0"/>
    <w:rsid w:val="002D4674"/>
    <w:rsid w:val="002E4B7C"/>
    <w:rsid w:val="002E4CD4"/>
    <w:rsid w:val="002F145D"/>
    <w:rsid w:val="002F2204"/>
    <w:rsid w:val="002F2A70"/>
    <w:rsid w:val="00312073"/>
    <w:rsid w:val="00315C46"/>
    <w:rsid w:val="00320FFB"/>
    <w:rsid w:val="003218F0"/>
    <w:rsid w:val="00321A9E"/>
    <w:rsid w:val="00322B27"/>
    <w:rsid w:val="00323773"/>
    <w:rsid w:val="00323FDD"/>
    <w:rsid w:val="003346B1"/>
    <w:rsid w:val="00337DF5"/>
    <w:rsid w:val="00342F12"/>
    <w:rsid w:val="003553A4"/>
    <w:rsid w:val="003664F2"/>
    <w:rsid w:val="003729D3"/>
    <w:rsid w:val="00372FB3"/>
    <w:rsid w:val="00376CB6"/>
    <w:rsid w:val="00396404"/>
    <w:rsid w:val="003C415E"/>
    <w:rsid w:val="003E64AA"/>
    <w:rsid w:val="004057E7"/>
    <w:rsid w:val="0041126E"/>
    <w:rsid w:val="0041389A"/>
    <w:rsid w:val="004279F1"/>
    <w:rsid w:val="00427B2E"/>
    <w:rsid w:val="004358EB"/>
    <w:rsid w:val="00440485"/>
    <w:rsid w:val="0045095C"/>
    <w:rsid w:val="004523E2"/>
    <w:rsid w:val="00452423"/>
    <w:rsid w:val="00457D67"/>
    <w:rsid w:val="0046039E"/>
    <w:rsid w:val="00462406"/>
    <w:rsid w:val="004628DC"/>
    <w:rsid w:val="00464277"/>
    <w:rsid w:val="00466297"/>
    <w:rsid w:val="004731A0"/>
    <w:rsid w:val="00481AC9"/>
    <w:rsid w:val="0048226B"/>
    <w:rsid w:val="0048487B"/>
    <w:rsid w:val="00493426"/>
    <w:rsid w:val="004A2268"/>
    <w:rsid w:val="004A2E27"/>
    <w:rsid w:val="004B2499"/>
    <w:rsid w:val="004B6E5D"/>
    <w:rsid w:val="004C2F7A"/>
    <w:rsid w:val="004C705A"/>
    <w:rsid w:val="004D0BA5"/>
    <w:rsid w:val="004D323F"/>
    <w:rsid w:val="004D5346"/>
    <w:rsid w:val="004E191A"/>
    <w:rsid w:val="004E5493"/>
    <w:rsid w:val="004F47B5"/>
    <w:rsid w:val="00501536"/>
    <w:rsid w:val="00510A4D"/>
    <w:rsid w:val="005159E1"/>
    <w:rsid w:val="00516142"/>
    <w:rsid w:val="00524F8E"/>
    <w:rsid w:val="005329BB"/>
    <w:rsid w:val="00532B7F"/>
    <w:rsid w:val="00534F25"/>
    <w:rsid w:val="00541D8B"/>
    <w:rsid w:val="00547A14"/>
    <w:rsid w:val="00552896"/>
    <w:rsid w:val="00564AED"/>
    <w:rsid w:val="0056783E"/>
    <w:rsid w:val="00570C93"/>
    <w:rsid w:val="00570E11"/>
    <w:rsid w:val="00573EF7"/>
    <w:rsid w:val="00575E3D"/>
    <w:rsid w:val="00577ED7"/>
    <w:rsid w:val="0058088A"/>
    <w:rsid w:val="00582A25"/>
    <w:rsid w:val="00582E73"/>
    <w:rsid w:val="00593B08"/>
    <w:rsid w:val="005A2434"/>
    <w:rsid w:val="005A503B"/>
    <w:rsid w:val="005A61BC"/>
    <w:rsid w:val="005B125D"/>
    <w:rsid w:val="005B7B2A"/>
    <w:rsid w:val="005D0B10"/>
    <w:rsid w:val="005E04B8"/>
    <w:rsid w:val="005E6232"/>
    <w:rsid w:val="006076AE"/>
    <w:rsid w:val="00613AB3"/>
    <w:rsid w:val="0061455B"/>
    <w:rsid w:val="006208E5"/>
    <w:rsid w:val="00626FFC"/>
    <w:rsid w:val="00635630"/>
    <w:rsid w:val="00641F5D"/>
    <w:rsid w:val="00647BF4"/>
    <w:rsid w:val="006506A7"/>
    <w:rsid w:val="00650B6D"/>
    <w:rsid w:val="00654E08"/>
    <w:rsid w:val="00657E0F"/>
    <w:rsid w:val="00670207"/>
    <w:rsid w:val="00670D7A"/>
    <w:rsid w:val="00672BED"/>
    <w:rsid w:val="00686BFC"/>
    <w:rsid w:val="0069080C"/>
    <w:rsid w:val="00692623"/>
    <w:rsid w:val="00693339"/>
    <w:rsid w:val="00696A5A"/>
    <w:rsid w:val="006B23A9"/>
    <w:rsid w:val="006C0843"/>
    <w:rsid w:val="006D4994"/>
    <w:rsid w:val="006E26B1"/>
    <w:rsid w:val="006E67F0"/>
    <w:rsid w:val="006E7C99"/>
    <w:rsid w:val="006F0148"/>
    <w:rsid w:val="006F5C12"/>
    <w:rsid w:val="00704B0B"/>
    <w:rsid w:val="007126F2"/>
    <w:rsid w:val="0071471E"/>
    <w:rsid w:val="00715647"/>
    <w:rsid w:val="007317D2"/>
    <w:rsid w:val="00733A39"/>
    <w:rsid w:val="00756D14"/>
    <w:rsid w:val="00771452"/>
    <w:rsid w:val="00772D58"/>
    <w:rsid w:val="00777D67"/>
    <w:rsid w:val="00781B8B"/>
    <w:rsid w:val="00783581"/>
    <w:rsid w:val="00786E7D"/>
    <w:rsid w:val="0079006B"/>
    <w:rsid w:val="0079118A"/>
    <w:rsid w:val="00792054"/>
    <w:rsid w:val="007A5093"/>
    <w:rsid w:val="007A693A"/>
    <w:rsid w:val="007B11E2"/>
    <w:rsid w:val="007B50CD"/>
    <w:rsid w:val="007B69A7"/>
    <w:rsid w:val="007C09E8"/>
    <w:rsid w:val="007C2F10"/>
    <w:rsid w:val="007D0058"/>
    <w:rsid w:val="007F401B"/>
    <w:rsid w:val="007F66D3"/>
    <w:rsid w:val="008005D4"/>
    <w:rsid w:val="00801706"/>
    <w:rsid w:val="00803AE3"/>
    <w:rsid w:val="00812680"/>
    <w:rsid w:val="00846A20"/>
    <w:rsid w:val="00847CC6"/>
    <w:rsid w:val="00850408"/>
    <w:rsid w:val="00874AD3"/>
    <w:rsid w:val="00876945"/>
    <w:rsid w:val="00880EAA"/>
    <w:rsid w:val="00885ED3"/>
    <w:rsid w:val="00886270"/>
    <w:rsid w:val="008A4FC4"/>
    <w:rsid w:val="008A7A71"/>
    <w:rsid w:val="008B030B"/>
    <w:rsid w:val="008C49CA"/>
    <w:rsid w:val="008C4B85"/>
    <w:rsid w:val="008D37DF"/>
    <w:rsid w:val="008E1EF9"/>
    <w:rsid w:val="008E5CC4"/>
    <w:rsid w:val="008F2236"/>
    <w:rsid w:val="00905483"/>
    <w:rsid w:val="00905996"/>
    <w:rsid w:val="009201E8"/>
    <w:rsid w:val="00935281"/>
    <w:rsid w:val="0094112A"/>
    <w:rsid w:val="00952D17"/>
    <w:rsid w:val="00954ECD"/>
    <w:rsid w:val="00957819"/>
    <w:rsid w:val="00962BD3"/>
    <w:rsid w:val="009670B5"/>
    <w:rsid w:val="009674DC"/>
    <w:rsid w:val="00973188"/>
    <w:rsid w:val="00974E04"/>
    <w:rsid w:val="009802A8"/>
    <w:rsid w:val="0098637D"/>
    <w:rsid w:val="0098732F"/>
    <w:rsid w:val="0099094F"/>
    <w:rsid w:val="009917CA"/>
    <w:rsid w:val="0099283C"/>
    <w:rsid w:val="009A272A"/>
    <w:rsid w:val="009A6A61"/>
    <w:rsid w:val="009B0EE5"/>
    <w:rsid w:val="009B740D"/>
    <w:rsid w:val="009C0CB2"/>
    <w:rsid w:val="009C2C57"/>
    <w:rsid w:val="009D0107"/>
    <w:rsid w:val="009D02EE"/>
    <w:rsid w:val="009D56CC"/>
    <w:rsid w:val="009E0787"/>
    <w:rsid w:val="009E37E6"/>
    <w:rsid w:val="009E436A"/>
    <w:rsid w:val="009E5BB7"/>
    <w:rsid w:val="009F1EE2"/>
    <w:rsid w:val="00A026B5"/>
    <w:rsid w:val="00A0698F"/>
    <w:rsid w:val="00A1277C"/>
    <w:rsid w:val="00A16377"/>
    <w:rsid w:val="00A363AE"/>
    <w:rsid w:val="00A45213"/>
    <w:rsid w:val="00A507E1"/>
    <w:rsid w:val="00A5509E"/>
    <w:rsid w:val="00A616D2"/>
    <w:rsid w:val="00A63F2B"/>
    <w:rsid w:val="00A642F7"/>
    <w:rsid w:val="00A70489"/>
    <w:rsid w:val="00A71800"/>
    <w:rsid w:val="00A76578"/>
    <w:rsid w:val="00A945FA"/>
    <w:rsid w:val="00A96857"/>
    <w:rsid w:val="00AA08E6"/>
    <w:rsid w:val="00AA66B6"/>
    <w:rsid w:val="00AB0E89"/>
    <w:rsid w:val="00AB366F"/>
    <w:rsid w:val="00AB4FE5"/>
    <w:rsid w:val="00AC3BFD"/>
    <w:rsid w:val="00AC59B7"/>
    <w:rsid w:val="00AD1222"/>
    <w:rsid w:val="00AD389F"/>
    <w:rsid w:val="00AE327E"/>
    <w:rsid w:val="00AE64CD"/>
    <w:rsid w:val="00AF017C"/>
    <w:rsid w:val="00AF03BF"/>
    <w:rsid w:val="00AF252C"/>
    <w:rsid w:val="00AF7A4F"/>
    <w:rsid w:val="00B016BE"/>
    <w:rsid w:val="00B0190D"/>
    <w:rsid w:val="00B01A0A"/>
    <w:rsid w:val="00B01B0D"/>
    <w:rsid w:val="00B046C5"/>
    <w:rsid w:val="00B13391"/>
    <w:rsid w:val="00B17E67"/>
    <w:rsid w:val="00B27B25"/>
    <w:rsid w:val="00B53C2B"/>
    <w:rsid w:val="00B6051D"/>
    <w:rsid w:val="00B66ECB"/>
    <w:rsid w:val="00B74F03"/>
    <w:rsid w:val="00B752E1"/>
    <w:rsid w:val="00B772B2"/>
    <w:rsid w:val="00B87657"/>
    <w:rsid w:val="00B93185"/>
    <w:rsid w:val="00B96253"/>
    <w:rsid w:val="00B966B9"/>
    <w:rsid w:val="00B9709E"/>
    <w:rsid w:val="00BB7697"/>
    <w:rsid w:val="00BC25BA"/>
    <w:rsid w:val="00BC28B4"/>
    <w:rsid w:val="00BD12F2"/>
    <w:rsid w:val="00BD1647"/>
    <w:rsid w:val="00BD2993"/>
    <w:rsid w:val="00BD5A74"/>
    <w:rsid w:val="00BD5BAD"/>
    <w:rsid w:val="00BD6D65"/>
    <w:rsid w:val="00BE0E94"/>
    <w:rsid w:val="00BF0EBC"/>
    <w:rsid w:val="00BF0FE3"/>
    <w:rsid w:val="00BF20EA"/>
    <w:rsid w:val="00BF25AF"/>
    <w:rsid w:val="00BF3408"/>
    <w:rsid w:val="00BF7512"/>
    <w:rsid w:val="00C0400C"/>
    <w:rsid w:val="00C07451"/>
    <w:rsid w:val="00C1529F"/>
    <w:rsid w:val="00C17B07"/>
    <w:rsid w:val="00C21175"/>
    <w:rsid w:val="00C25F8D"/>
    <w:rsid w:val="00C269AC"/>
    <w:rsid w:val="00C344FE"/>
    <w:rsid w:val="00C415CF"/>
    <w:rsid w:val="00C43815"/>
    <w:rsid w:val="00C573C2"/>
    <w:rsid w:val="00C61FB7"/>
    <w:rsid w:val="00C629D1"/>
    <w:rsid w:val="00C6602A"/>
    <w:rsid w:val="00C671D6"/>
    <w:rsid w:val="00C70B41"/>
    <w:rsid w:val="00C73669"/>
    <w:rsid w:val="00C82D1D"/>
    <w:rsid w:val="00C83298"/>
    <w:rsid w:val="00C85C02"/>
    <w:rsid w:val="00C917C9"/>
    <w:rsid w:val="00C9312B"/>
    <w:rsid w:val="00C96DBB"/>
    <w:rsid w:val="00CA2846"/>
    <w:rsid w:val="00CA4016"/>
    <w:rsid w:val="00CA4288"/>
    <w:rsid w:val="00CB165E"/>
    <w:rsid w:val="00CC15F5"/>
    <w:rsid w:val="00CC1C2A"/>
    <w:rsid w:val="00CC3B4D"/>
    <w:rsid w:val="00CC4ACC"/>
    <w:rsid w:val="00CC6ECB"/>
    <w:rsid w:val="00CD057B"/>
    <w:rsid w:val="00CD2B96"/>
    <w:rsid w:val="00CD50CC"/>
    <w:rsid w:val="00CE60F0"/>
    <w:rsid w:val="00CE6E9E"/>
    <w:rsid w:val="00CF3637"/>
    <w:rsid w:val="00CF56BE"/>
    <w:rsid w:val="00CF7F32"/>
    <w:rsid w:val="00D02039"/>
    <w:rsid w:val="00D02EBF"/>
    <w:rsid w:val="00D04BE6"/>
    <w:rsid w:val="00D129BC"/>
    <w:rsid w:val="00D14B60"/>
    <w:rsid w:val="00D21E8B"/>
    <w:rsid w:val="00D33FC2"/>
    <w:rsid w:val="00D34534"/>
    <w:rsid w:val="00D44A96"/>
    <w:rsid w:val="00D45288"/>
    <w:rsid w:val="00D6343B"/>
    <w:rsid w:val="00D73EF5"/>
    <w:rsid w:val="00D7479B"/>
    <w:rsid w:val="00D7490C"/>
    <w:rsid w:val="00D7542B"/>
    <w:rsid w:val="00D76422"/>
    <w:rsid w:val="00D8348D"/>
    <w:rsid w:val="00D92020"/>
    <w:rsid w:val="00D93C78"/>
    <w:rsid w:val="00D979B1"/>
    <w:rsid w:val="00DA1D36"/>
    <w:rsid w:val="00DA29E9"/>
    <w:rsid w:val="00DB3BF5"/>
    <w:rsid w:val="00DC642B"/>
    <w:rsid w:val="00DD1640"/>
    <w:rsid w:val="00DE572B"/>
    <w:rsid w:val="00DE647C"/>
    <w:rsid w:val="00DF0116"/>
    <w:rsid w:val="00DF022A"/>
    <w:rsid w:val="00DF4F8B"/>
    <w:rsid w:val="00DF5AEE"/>
    <w:rsid w:val="00DF7D6A"/>
    <w:rsid w:val="00E031BB"/>
    <w:rsid w:val="00E05579"/>
    <w:rsid w:val="00E173E4"/>
    <w:rsid w:val="00E2563B"/>
    <w:rsid w:val="00E26CCE"/>
    <w:rsid w:val="00E43195"/>
    <w:rsid w:val="00E4625C"/>
    <w:rsid w:val="00E56577"/>
    <w:rsid w:val="00E6068C"/>
    <w:rsid w:val="00E6073F"/>
    <w:rsid w:val="00E67161"/>
    <w:rsid w:val="00E766BE"/>
    <w:rsid w:val="00E77982"/>
    <w:rsid w:val="00E81D4C"/>
    <w:rsid w:val="00E914F5"/>
    <w:rsid w:val="00E92EFF"/>
    <w:rsid w:val="00E95CA3"/>
    <w:rsid w:val="00EA7DCF"/>
    <w:rsid w:val="00EB7906"/>
    <w:rsid w:val="00ED3D86"/>
    <w:rsid w:val="00EE77DF"/>
    <w:rsid w:val="00EF33B4"/>
    <w:rsid w:val="00EF6580"/>
    <w:rsid w:val="00F03C3F"/>
    <w:rsid w:val="00F118A3"/>
    <w:rsid w:val="00F160AE"/>
    <w:rsid w:val="00F21E21"/>
    <w:rsid w:val="00F23F4A"/>
    <w:rsid w:val="00F26D74"/>
    <w:rsid w:val="00F30345"/>
    <w:rsid w:val="00F418EF"/>
    <w:rsid w:val="00F42FC2"/>
    <w:rsid w:val="00F46451"/>
    <w:rsid w:val="00F503F6"/>
    <w:rsid w:val="00F52A5C"/>
    <w:rsid w:val="00F54141"/>
    <w:rsid w:val="00F57926"/>
    <w:rsid w:val="00F57EF4"/>
    <w:rsid w:val="00F757CF"/>
    <w:rsid w:val="00F76DE9"/>
    <w:rsid w:val="00F84906"/>
    <w:rsid w:val="00F93080"/>
    <w:rsid w:val="00FA1C3D"/>
    <w:rsid w:val="00FA2636"/>
    <w:rsid w:val="00FA72CF"/>
    <w:rsid w:val="00FD0960"/>
    <w:rsid w:val="00FD198C"/>
    <w:rsid w:val="00FE1E19"/>
    <w:rsid w:val="00FE7F10"/>
    <w:rsid w:val="00FF0827"/>
    <w:rsid w:val="00FF196A"/>
    <w:rsid w:val="0F3F9C30"/>
    <w:rsid w:val="124949A8"/>
    <w:rsid w:val="13842842"/>
    <w:rsid w:val="1922486C"/>
    <w:rsid w:val="1AECB39B"/>
    <w:rsid w:val="20667024"/>
    <w:rsid w:val="2440613C"/>
    <w:rsid w:val="2C3E2D2F"/>
    <w:rsid w:val="38899CC6"/>
    <w:rsid w:val="39F4C0F3"/>
    <w:rsid w:val="3A0490BF"/>
    <w:rsid w:val="4244280A"/>
    <w:rsid w:val="42D426D5"/>
    <w:rsid w:val="4E379DC0"/>
    <w:rsid w:val="520D39A1"/>
    <w:rsid w:val="535D5160"/>
    <w:rsid w:val="542C364E"/>
    <w:rsid w:val="549C3165"/>
    <w:rsid w:val="5D561216"/>
    <w:rsid w:val="5DBE28FF"/>
    <w:rsid w:val="61DDFDBD"/>
    <w:rsid w:val="6890C90F"/>
    <w:rsid w:val="6964EB31"/>
    <w:rsid w:val="70E9919F"/>
    <w:rsid w:val="7A53803E"/>
    <w:rsid w:val="7A7D6C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3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4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2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5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6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2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83298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61FB7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6506A7"/>
    <w:rPr>
      <w:i/>
      <w:iCs/>
    </w:rPr>
  </w:style>
  <w:style w:type="character" w:customStyle="1" w:styleId="dyjrff">
    <w:name w:val="dyjrff"/>
    <w:basedOn w:val="DefaultParagraphFont"/>
    <w:rsid w:val="006506A7"/>
  </w:style>
  <w:style w:type="paragraph" w:styleId="NormalWeb">
    <w:name w:val="Normal (Web)"/>
    <w:basedOn w:val="Normal"/>
    <w:uiPriority w:val="99"/>
    <w:semiHidden/>
    <w:unhideWhenUsed/>
    <w:rsid w:val="00781B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cf01">
    <w:name w:val="cf01"/>
    <w:basedOn w:val="DefaultParagraphFont"/>
    <w:rsid w:val="00781B8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6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blog.engineshed.scot/2018/08/24/traditional-mortars-going-full-circle/" TargetMode="External"/><Relationship Id="rId26" Type="http://schemas.openxmlformats.org/officeDocument/2006/relationships/hyperlink" Target="https://plaistererslivery.co.uk/" TargetMode="External"/><Relationship Id="rId39" Type="http://schemas.openxmlformats.org/officeDocument/2006/relationships/hyperlink" Target="https://d.docs.live.net/0654c38050dc99c9/Desktop/Just%20Content/C%5e0G%20delivery%20guides/4%20Final%20files/201-203%20Construction/About%20the%20BWF%20|%20The%20British%20Woodworking%20Federation%20%20%20%20%20%20%20https:/www.bwf.org.uk&#160;&#8250;%20about-bwf" TargetMode="External"/><Relationship Id="rId21" Type="http://schemas.openxmlformats.org/officeDocument/2006/relationships/hyperlink" Target="https://elemental.green/10-eco-building-materials-revolutionizing-home-construction/" TargetMode="External"/><Relationship Id="rId34" Type="http://schemas.openxmlformats.org/officeDocument/2006/relationships/hyperlink" Target="https://www.gov.uk/guidance/construction-near-protected-areas-and-wildlife" TargetMode="External"/><Relationship Id="rId42" Type="http://schemas.openxmlformats.org/officeDocument/2006/relationships/hyperlink" Target="https://www.hse.gov.uk/coshh/" TargetMode="External"/><Relationship Id="rId47" Type="http://schemas.openxmlformats.org/officeDocument/2006/relationships/hyperlink" Target="https://www.legislation.gov.uk/uksi/2005/894/contents/made" TargetMode="External"/><Relationship Id="rId50" Type="http://schemas.openxmlformats.org/officeDocument/2006/relationships/hyperlink" Target="https://www.legislation.gov.uk/ukpga/1974/40/contents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yperlink" Target="https://www.youtube.com/watch?v=gpGIVPHkZmg" TargetMode="External"/><Relationship Id="rId11" Type="http://schemas.openxmlformats.org/officeDocument/2006/relationships/header" Target="header1.xml"/><Relationship Id="rId24" Type="http://schemas.openxmlformats.org/officeDocument/2006/relationships/hyperlink" Target="https://www.thenbs.com/knowledge/what-is-building-information-modelling-bim" TargetMode="External"/><Relationship Id="rId32" Type="http://schemas.openxmlformats.org/officeDocument/2006/relationships/hyperlink" Target="https://www.passivhaustrust.org.uk/what_is_passivhaus.php" TargetMode="External"/><Relationship Id="rId37" Type="http://schemas.openxmlformats.org/officeDocument/2006/relationships/hyperlink" Target="https://www.jstor.org/stable/42605497" TargetMode="External"/><Relationship Id="rId40" Type="http://schemas.openxmlformats.org/officeDocument/2006/relationships/hyperlink" Target="https://www.bwf.org.uk/" TargetMode="External"/><Relationship Id="rId45" Type="http://schemas.openxmlformats.org/officeDocument/2006/relationships/hyperlink" Target="https://www.legislation.gov.uk/ukpga/1990/43/contents" TargetMode="External"/><Relationship Id="rId53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yperlink" Target="https://blog.engineshed.scot/2018/08/24/traditional-mortars-going-full-circle/" TargetMode="External"/><Relationship Id="rId31" Type="http://schemas.openxmlformats.org/officeDocument/2006/relationships/hyperlink" Target="https://www.pftplasteringmachines.com/product/pft-ritmo-l-plus/" TargetMode="External"/><Relationship Id="rId44" Type="http://schemas.openxmlformats.org/officeDocument/2006/relationships/hyperlink" Target="https://www.legislation.gov.uk/anaw/2016/3/contents/enacted" TargetMode="External"/><Relationship Id="rId52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futuregenerations.wales/wp-content/uploads/2017/01/150623-guide-to-the-fg-act-en.pdf" TargetMode="External"/><Relationship Id="rId27" Type="http://schemas.openxmlformats.org/officeDocument/2006/relationships/hyperlink" Target="https://www.externalrendering.net/modern-render-system-vs-traditional-render-system/" TargetMode="External"/><Relationship Id="rId30" Type="http://schemas.openxmlformats.org/officeDocument/2006/relationships/hyperlink" Target="https://www.youtube.com/watch?v=gpGIVPHkZmg" TargetMode="External"/><Relationship Id="rId35" Type="http://schemas.openxmlformats.org/officeDocument/2006/relationships/hyperlink" Target="https://www.british-gypsum.com/products/thistlepro-purefinish?tab0=0" TargetMode="External"/><Relationship Id="rId43" Type="http://schemas.openxmlformats.org/officeDocument/2006/relationships/hyperlink" Target="https://www.legislation.gov.uk/anaw/2016/3/contents/enacted" TargetMode="External"/><Relationship Id="rId48" Type="http://schemas.openxmlformats.org/officeDocument/2006/relationships/hyperlink" Target="https://www.legislation.gov.uk/uksi/2005/894/contents/made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www.breeam.com/" TargetMode="External"/><Relationship Id="rId3" Type="http://schemas.openxmlformats.org/officeDocument/2006/relationships/customXml" Target="../customXml/item3.xml"/><Relationship Id="rId12" Type="http://schemas.openxmlformats.org/officeDocument/2006/relationships/header" Target="header2.xml"/><Relationship Id="rId17" Type="http://schemas.openxmlformats.org/officeDocument/2006/relationships/hyperlink" Target="https://www.british-gypsum.com/literature/white-book" TargetMode="External"/><Relationship Id="rId25" Type="http://schemas.openxmlformats.org/officeDocument/2006/relationships/hyperlink" Target="https://www.thenbs.com/knowledge/what-is-building-information-modelling-bim" TargetMode="External"/><Relationship Id="rId33" Type="http://schemas.openxmlformats.org/officeDocument/2006/relationships/hyperlink" Target="https://www.passivhaustrust.org.uk/what_is_passivhaus.php" TargetMode="External"/><Relationship Id="rId38" Type="http://schemas.openxmlformats.org/officeDocument/2006/relationships/hyperlink" Target="https://www.jstor.org/stable/42605497" TargetMode="External"/><Relationship Id="rId46" Type="http://schemas.openxmlformats.org/officeDocument/2006/relationships/hyperlink" Target="https://www.legislation.gov.uk/ukpga/1990/43/contents" TargetMode="External"/><Relationship Id="rId20" Type="http://schemas.openxmlformats.org/officeDocument/2006/relationships/hyperlink" Target="https://elemental.green/10-eco-building-materials-revolutionizing-home-construction/" TargetMode="External"/><Relationship Id="rId41" Type="http://schemas.openxmlformats.org/officeDocument/2006/relationships/hyperlink" Target="https://www.hse.gov.uk/coshh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yperlink" Target="https://www.futuregenerations.wales/wp-content/uploads/2017/01/150623-guide-to-the-fg-act-en.pdf" TargetMode="External"/><Relationship Id="rId28" Type="http://schemas.openxmlformats.org/officeDocument/2006/relationships/hyperlink" Target="https://www.externalrendering.net/modern-render-system-vs-traditional-render-system/" TargetMode="External"/><Relationship Id="rId36" Type="http://schemas.openxmlformats.org/officeDocument/2006/relationships/hyperlink" Target="https://www.british-gypsum.com/products/thistlepro-purefinish?tab0=0" TargetMode="External"/><Relationship Id="rId49" Type="http://schemas.openxmlformats.org/officeDocument/2006/relationships/hyperlink" Target="https://www.legislation.gov.uk/ukpga/1974/40/content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638E25-0585-4D52-BAD3-E7D5F7C992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7C524-050A-4795-9DB0-A9587EA21B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C07B54-A359-4CDA-836E-4E1938AEAB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4D6BB5-06BF-4976-AC86-42A6ADE66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2096</Words>
  <Characters>11950</Characters>
  <Application>Microsoft Office Word</Application>
  <DocSecurity>0</DocSecurity>
  <Lines>99</Lines>
  <Paragraphs>28</Paragraphs>
  <ScaleCrop>false</ScaleCrop>
  <Company>City &amp; Guilds</Company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2021-02-03T13:26:00Z</cp:lastPrinted>
  <dcterms:created xsi:type="dcterms:W3CDTF">2021-07-05T14:08:00Z</dcterms:created>
  <dcterms:modified xsi:type="dcterms:W3CDTF">2021-07-06T09:57:00Z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