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5219992E" w:rsidR="00CC1C2A" w:rsidRDefault="00376CB6" w:rsidP="00205182">
      <w:pPr>
        <w:pStyle w:val="Unittitle"/>
      </w:pPr>
      <w:r>
        <w:t xml:space="preserve">Uned 313:</w:t>
      </w:r>
      <w:r>
        <w:t xml:space="preserve"> </w:t>
      </w:r>
      <w:r>
        <w:t xml:space="preserve">Sefydlu a chynnal perthnasoedd yn y sector Peirianneg Gwasanaethau Adeiladu</w:t>
      </w:r>
    </w:p>
    <w:p w14:paraId="3719F5E0" w14:textId="5A6CEFD1" w:rsidR="009B0EE5" w:rsidRPr="0040327F" w:rsidRDefault="006B23A9" w:rsidP="00221F7F">
      <w:pPr>
        <w:pStyle w:val="Heading1"/>
        <w:spacing w:after="240"/>
        <w:sectPr w:rsidR="009B0EE5" w:rsidRPr="0040327F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4B63C802" w14:textId="77777777" w:rsidR="00F262DE" w:rsidRDefault="00F262DE" w:rsidP="000F364F">
      <w:pPr>
        <w:spacing w:before="0" w:line="240" w:lineRule="auto"/>
      </w:pPr>
      <w:r>
        <w:t xml:space="preserve">Mae’r uned hon yn cynnwys gwybodaeth, dealltwriaeth a pherfformiad ac mae’n galluogi dysgwyr i ddatblygu a chynnal perthnasoedd cadarnhaol â chleientiaid a chwsmeriaid sy’n gysylltiedig â’r gweithgareddau gosod a/neu gynnal a chadw yn y sector peirianneg gwasanaethau adeiladu yn unol â’r canlynol:</w:t>
      </w:r>
    </w:p>
    <w:p w14:paraId="3E3C0573" w14:textId="204BF3B1" w:rsidR="00F262DE" w:rsidRDefault="00F262DE" w:rsidP="00F262DE">
      <w:pPr>
        <w:pStyle w:val="Normalbulletlist"/>
      </w:pPr>
      <w:r>
        <w:t xml:space="preserve">rheoliadau a safonau priodol y diwydiant</w:t>
      </w:r>
    </w:p>
    <w:p w14:paraId="264085A9" w14:textId="77777777" w:rsidR="00F262DE" w:rsidRDefault="00F262DE" w:rsidP="00F262DE">
      <w:pPr>
        <w:pStyle w:val="Normalbulletlist"/>
      </w:pPr>
      <w:r>
        <w:t xml:space="preserve">y fanyleb</w:t>
      </w:r>
    </w:p>
    <w:p w14:paraId="47E995A1" w14:textId="77777777" w:rsidR="00F262DE" w:rsidRDefault="00F262DE" w:rsidP="00F262DE">
      <w:pPr>
        <w:pStyle w:val="Normalbulletlist"/>
      </w:pPr>
      <w:r>
        <w:t xml:space="preserve">arferion gweithio</w:t>
      </w:r>
    </w:p>
    <w:p w14:paraId="78A6EA29" w14:textId="1E13815E" w:rsidR="00F262DE" w:rsidRDefault="00F262DE" w:rsidP="00F262DE">
      <w:pPr>
        <w:pStyle w:val="Normalbulletlist"/>
      </w:pPr>
      <w:r>
        <w:t xml:space="preserve">yr amgylchedd gweithio a’r amgylchedd naturiol.</w:t>
      </w:r>
      <w:r>
        <w:t xml:space="preserve"> </w:t>
      </w:r>
      <w:r>
        <w:br/>
      </w:r>
    </w:p>
    <w:p w14:paraId="32AFFDDD" w14:textId="77777777" w:rsidR="00F262DE" w:rsidRDefault="00F262DE" w:rsidP="000F364F">
      <w:pPr>
        <w:spacing w:before="0" w:line="240" w:lineRule="auto"/>
      </w:pPr>
      <w:r>
        <w:t xml:space="preserve">Bydd y dysgwr yn gyfrifol am sefydlu a chynnal cysylltiadau â chleientiaid a chwsmeriaid a bydd yn gallu:</w:t>
      </w:r>
    </w:p>
    <w:p w14:paraId="08646763" w14:textId="77777777" w:rsidR="00F262DE" w:rsidRDefault="00F262DE" w:rsidP="00F262DE">
      <w:pPr>
        <w:pStyle w:val="Normalbulletlist"/>
      </w:pPr>
      <w:r>
        <w:t xml:space="preserve">cyflwyno a darparu gwybodaeth, cyngor ac arweiniad technegol a swyddogaethol cywir</w:t>
      </w:r>
    </w:p>
    <w:p w14:paraId="211E2DD1" w14:textId="77777777" w:rsidR="00F262DE" w:rsidRDefault="00F262DE" w:rsidP="00F262DE">
      <w:pPr>
        <w:pStyle w:val="Normalbulletlist"/>
      </w:pPr>
      <w:r>
        <w:t xml:space="preserve">cysylltu â chleientiaid a chwsmeriaid mewn perthynas â’u hanghenion a’u disgwyliadau</w:t>
      </w:r>
    </w:p>
    <w:p w14:paraId="4954E844" w14:textId="0C8FF149" w:rsidR="00F262DE" w:rsidRDefault="00F262DE" w:rsidP="00F262DE">
      <w:pPr>
        <w:pStyle w:val="Normalbulletlist"/>
      </w:pPr>
      <w:r>
        <w:t xml:space="preserve">ymateb fel sy’n briodol i anghenion a disgwyliadau’r cleient a’r cwsmer.</w:t>
      </w:r>
    </w:p>
    <w:p w14:paraId="72E6AF9B" w14:textId="77777777" w:rsidR="00D34604" w:rsidRDefault="00D34604" w:rsidP="000F364F">
      <w:pPr>
        <w:spacing w:before="0" w:line="240" w:lineRule="auto"/>
      </w:pPr>
    </w:p>
    <w:p w14:paraId="18E07F45" w14:textId="405AB536" w:rsidR="00515462" w:rsidRDefault="00515462" w:rsidP="000F364F">
      <w:pPr>
        <w:spacing w:before="0" w:line="240" w:lineRule="auto"/>
      </w:pPr>
      <w:r>
        <w:t xml:space="preserve">Gellir cyflwyno dysgwyr i’r uned hon drwy eu cymell i ofyn cwestiynau iddyn nhw eu hunain fel:</w:t>
      </w:r>
    </w:p>
    <w:p w14:paraId="751E1302" w14:textId="77777777" w:rsidR="00F262DE" w:rsidRDefault="00F262DE" w:rsidP="00F262DE">
      <w:pPr>
        <w:pStyle w:val="Normalbulletlist"/>
      </w:pPr>
      <w:r>
        <w:t xml:space="preserve">Beth yw’r wybodaeth dechnegol a swyddogaethol sydd ei hangen ar gyfer fy ngwaith?</w:t>
      </w:r>
    </w:p>
    <w:p w14:paraId="765D7CEB" w14:textId="77777777" w:rsidR="00F262DE" w:rsidRDefault="00F262DE" w:rsidP="00F262DE">
      <w:pPr>
        <w:pStyle w:val="Normalbulletlist"/>
      </w:pPr>
      <w:r>
        <w:t xml:space="preserve">Sut alla i ddarparu gwasanaeth rhagorol i gwsmeriaid?</w:t>
      </w:r>
    </w:p>
    <w:p w14:paraId="7AF1CA8F" w14:textId="16EBC918" w:rsidR="0090187A" w:rsidRDefault="00F262DE" w:rsidP="00F262DE">
      <w:pPr>
        <w:pStyle w:val="Normalbulletlist"/>
      </w:pPr>
      <w:r>
        <w:t xml:space="preserve">Pam mae diogelu data yn bwysig?</w:t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005F8816" w14:textId="77777777" w:rsidR="00521951" w:rsidRDefault="00521951" w:rsidP="00494738">
      <w:pPr>
        <w:pStyle w:val="Normalnumberedlist"/>
      </w:pPr>
      <w:r>
        <w:t xml:space="preserve">Deall y mathau o wybodaeth dechnegol a swyddogaethol sydd ar gael ar gyfer y gwaith gosod a/neu gynnal a chadw</w:t>
      </w:r>
    </w:p>
    <w:p w14:paraId="7EF49A64" w14:textId="77777777" w:rsidR="00521951" w:rsidRDefault="00521951" w:rsidP="00494738">
      <w:pPr>
        <w:pStyle w:val="Normalnumberedlist"/>
      </w:pPr>
      <w:r>
        <w:t xml:space="preserve">Deall y gweithdrefnau ar gyfer cyflenwi gwybodaeth dechnegol a swyddogaethol i bobl berthnasol</w:t>
      </w:r>
    </w:p>
    <w:p w14:paraId="642DE91B" w14:textId="5A2E3442" w:rsidR="00521951" w:rsidRDefault="00521951" w:rsidP="00494738">
      <w:pPr>
        <w:pStyle w:val="Normalnumberedlist"/>
      </w:pPr>
      <w:r>
        <w:t xml:space="preserve">Deall pwysigrwydd gwasanaeth i gwsmeriaid mewn perthynas â gwaith gosod a/neu gynnal a chadw</w:t>
      </w:r>
    </w:p>
    <w:p w14:paraId="46866FEB" w14:textId="77777777" w:rsidR="00E511ED" w:rsidRDefault="00E511ED" w:rsidP="00E511ED">
      <w:pPr>
        <w:pStyle w:val="Normalnumberedlist"/>
        <w:numPr>
          <w:ilvl w:val="0"/>
          <w:numId w:val="0"/>
        </w:numPr>
      </w:pPr>
    </w:p>
    <w:p w14:paraId="08DFC3D6" w14:textId="6515A3F4" w:rsidR="00E511ED" w:rsidRDefault="00E511ED" w:rsidP="00E511ED">
      <w:pPr>
        <w:pStyle w:val="Normalnumberedlist"/>
        <w:numPr>
          <w:ilvl w:val="0"/>
          <w:numId w:val="0"/>
        </w:numPr>
      </w:pPr>
      <w:r>
        <w:t xml:space="preserve">Mae’r canllaw cyflawni hwn yn ymdrin ag elfennau gwybodaeth a dealltwriaeth yr uned hon yn unig, nid y meini prawf perfformiad sy’n benodol i weithle’r dysgwr.</w:t>
      </w:r>
      <w:r>
        <w:t xml:space="preserve"> </w:t>
      </w:r>
      <w:r>
        <w:t xml:space="preserve">Mae’r meini prawf perfformiad ar gyfer yr uned hon wedi’u rhestru isod:</w:t>
      </w:r>
    </w:p>
    <w:p w14:paraId="39979FF1" w14:textId="77777777" w:rsidR="00E511ED" w:rsidRDefault="00E511ED" w:rsidP="00E511ED">
      <w:pPr>
        <w:pStyle w:val="Normalnumberedlist"/>
        <w:numPr>
          <w:ilvl w:val="0"/>
          <w:numId w:val="0"/>
        </w:numPr>
      </w:pPr>
    </w:p>
    <w:p w14:paraId="06B2CB7F" w14:textId="77777777" w:rsidR="00702A28" w:rsidRDefault="00702A28" w:rsidP="00494738">
      <w:pPr>
        <w:pStyle w:val="Normalnumberedlist"/>
      </w:pPr>
      <w:r>
        <w:t xml:space="preserve">Darparu gwybodaeth dechnegol a swyddogaethol</w:t>
      </w:r>
    </w:p>
    <w:p w14:paraId="4528D191" w14:textId="77777777" w:rsidR="00702A28" w:rsidRDefault="00702A28" w:rsidP="00494738">
      <w:pPr>
        <w:pStyle w:val="Normalnumberedlist"/>
      </w:pPr>
      <w:r>
        <w:t xml:space="preserve">Darparu arweiniad a chyngor cywir i’r cleientiaid a’r cwsmeriaid ar faterion technegol a swyddogaethol</w:t>
      </w:r>
    </w:p>
    <w:p w14:paraId="65DC2F37" w14:textId="77777777" w:rsidR="00702A28" w:rsidRDefault="00702A28" w:rsidP="00494738">
      <w:pPr>
        <w:pStyle w:val="Normalnumberedlist"/>
      </w:pPr>
      <w:r>
        <w:t xml:space="preserve">Gweithdrefnau trosglwyddo</w:t>
      </w:r>
    </w:p>
    <w:p w14:paraId="18D10A09" w14:textId="77777777" w:rsidR="00702A28" w:rsidRDefault="00702A28" w:rsidP="00494738">
      <w:pPr>
        <w:pStyle w:val="Normalnumberedlist"/>
      </w:pPr>
      <w:r>
        <w:t xml:space="preserve">Cynnal perthnasoedd gwaith cynhyrchiol gyda chleientiaid a chwsmeriaid</w:t>
      </w:r>
    </w:p>
    <w:p w14:paraId="63E02EBD" w14:textId="77777777" w:rsidR="00702A28" w:rsidRDefault="00702A28" w:rsidP="00494738">
      <w:pPr>
        <w:pStyle w:val="Normalnumberedlist"/>
      </w:pPr>
      <w:r>
        <w:t xml:space="preserve">Ymateb yn effeithiol i geisiadau am wybodaeth dechnegol a swyddogaethol</w:t>
      </w:r>
    </w:p>
    <w:p w14:paraId="3C1BC72F" w14:textId="77777777" w:rsidR="00702A28" w:rsidRDefault="00702A28" w:rsidP="00494738">
      <w:pPr>
        <w:pStyle w:val="Normalnumberedlist"/>
      </w:pPr>
      <w:r>
        <w:t xml:space="preserve">Dilyn y drefn ar gyfer unrhyw amrywiadau</w:t>
      </w:r>
    </w:p>
    <w:p w14:paraId="49509F56" w14:textId="7E852F94" w:rsidR="001D1D5F" w:rsidRDefault="00702A28" w:rsidP="00857CF1">
      <w:pPr>
        <w:pStyle w:val="Normalnumberedlist"/>
      </w:pPr>
      <w:r>
        <w:t xml:space="preserve">Cydymffurfio â safonau’r sefydliad ar gyfer ymddangosiad ac ymddygiad</w:t>
      </w:r>
    </w:p>
    <w:p w14:paraId="7E102150" w14:textId="33E0B1F0" w:rsidR="001D1D5F" w:rsidRDefault="001D1D5F" w:rsidP="001D1D5F">
      <w:pPr>
        <w:pStyle w:val="Normalnumberedlist"/>
        <w:numPr>
          <w:ilvl w:val="0"/>
          <w:numId w:val="0"/>
        </w:numPr>
        <w:ind w:left="357" w:hanging="357"/>
      </w:pPr>
    </w:p>
    <w:p w14:paraId="4E171ACE" w14:textId="77777777" w:rsidR="00221F7F" w:rsidRPr="00494738" w:rsidRDefault="00221F7F" w:rsidP="001D1D5F">
      <w:pPr>
        <w:pStyle w:val="Normalnumberedlist"/>
        <w:numPr>
          <w:ilvl w:val="0"/>
          <w:numId w:val="0"/>
        </w:numPr>
        <w:ind w:left="357" w:hanging="357"/>
      </w:pPr>
    </w:p>
    <w:p w14:paraId="05E8087E" w14:textId="6776B2DD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7798BBED" w14:textId="77777777" w:rsidR="00114C7A" w:rsidRDefault="00114C7A" w:rsidP="00114C7A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 xml:space="preserve">Gwerslyfrau</w:t>
      </w:r>
    </w:p>
    <w:bookmarkEnd w:id="0"/>
    <w:p w14:paraId="372317C8" w14:textId="77777777" w:rsidR="00EC6463" w:rsidRPr="005C763B" w:rsidRDefault="00EC6463" w:rsidP="00EC6463">
      <w:pPr>
        <w:pStyle w:val="Normalbulletlist"/>
        <w:rPr>
          <w:rFonts w:eastAsia="Arial"/>
        </w:rPr>
      </w:pPr>
      <w:r>
        <w:t xml:space="preserve">Gashe, M., Byrne, K. (2020)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Plastering for Levels 1 and 2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6DF53818" w14:textId="5AE75AE4" w:rsidR="00114C7A" w:rsidRDefault="00EC6463" w:rsidP="00EC6463">
      <w:pPr>
        <w:pStyle w:val="Normalbulletlist"/>
        <w:numPr>
          <w:ilvl w:val="0"/>
          <w:numId w:val="0"/>
        </w:numPr>
        <w:ind w:left="284"/>
      </w:pPr>
      <w:r>
        <w:t xml:space="preserve">ISBN 978-1-3983-0647-9</w:t>
      </w:r>
    </w:p>
    <w:p w14:paraId="7375DFFC" w14:textId="77777777" w:rsidR="00114C7A" w:rsidRDefault="00114C7A" w:rsidP="00114C7A">
      <w:pPr>
        <w:pStyle w:val="Normalheadingblack"/>
        <w:rPr>
          <w:bCs/>
          <w:szCs w:val="22"/>
        </w:rPr>
      </w:pPr>
      <w:bookmarkStart w:id="3" w:name="_Hlk77780839"/>
      <w:r>
        <w:t xml:space="preserve">Gwefannau</w:t>
      </w:r>
    </w:p>
    <w:bookmarkEnd w:id="1"/>
    <w:p w14:paraId="47510EF4" w14:textId="4562B5B4" w:rsidR="00285647" w:rsidRDefault="00285647" w:rsidP="00285647">
      <w:pPr>
        <w:pStyle w:val="Normalbulletlist"/>
      </w:pPr>
      <w:r>
        <w:fldChar w:fldCharType="begin"/>
      </w:r>
      <w:r w:rsidR="000D7197">
        <w:instrText>HYPERLINK "https://blog.atinternet.com/en/15-questions-to-test-your-gdpr-knowledge/"</w:instrText>
      </w:r>
      <w:r>
        <w:fldChar w:fldCharType="separate"/>
      </w:r>
      <w:r>
        <w:rPr>
          <w:rStyle w:val="Hyperlink"/>
        </w:rPr>
        <w:t xml:space="preserve">AT Internet | GDPR Quiz:</w:t>
      </w:r>
      <w:r>
        <w:rPr>
          <w:rStyle w:val="Hyperlink"/>
        </w:rPr>
        <w:t xml:space="preserve"> </w:t>
      </w:r>
      <w:r>
        <w:rPr>
          <w:rStyle w:val="Hyperlink"/>
        </w:rPr>
        <w:t xml:space="preserve">Questions and Answers on the Protection of Personal Data</w:t>
      </w:r>
      <w:r>
        <w:rPr>
          <w:rStyle w:val="Hyperlink"/>
        </w:rPr>
        <w:t xml:space="preserve"> </w:t>
      </w:r>
      <w:r>
        <w:fldChar w:fldCharType="end"/>
      </w:r>
    </w:p>
    <w:p w14:paraId="3AF9504E" w14:textId="77777777" w:rsidR="003F493D" w:rsidRDefault="00221F7F" w:rsidP="003F493D">
      <w:pPr>
        <w:pStyle w:val="Normalbulletlist"/>
        <w:rPr>
          <w:rFonts w:eastAsia="Arial"/>
        </w:rPr>
      </w:pPr>
      <w:hyperlink r:id="rId12" w:history="1">
        <w:r>
          <w:rPr>
            <w:rStyle w:val="Hyperlink"/>
          </w:rPr>
          <w:t xml:space="preserve">Business Balls | Role playing and role play games process and tips</w:t>
        </w:r>
      </w:hyperlink>
    </w:p>
    <w:p w14:paraId="789A9471" w14:textId="77777777" w:rsidR="00285647" w:rsidRPr="00285647" w:rsidRDefault="00221F7F" w:rsidP="000159FD">
      <w:pPr>
        <w:pStyle w:val="Normalbulletlist"/>
        <w:rPr>
          <w:rStyle w:val="Hyperlink"/>
          <w:color w:val="auto"/>
          <w:u w:val="none"/>
          <w:rFonts w:eastAsia="Arial"/>
        </w:rPr>
      </w:pPr>
      <w:hyperlink r:id="rId13" w:history="1">
        <w:r>
          <w:rPr>
            <w:rStyle w:val="Hyperlink"/>
          </w:rPr>
          <w:t xml:space="preserve">Contracts Counsel | What is a Contractual Agreement?</w:t>
        </w:r>
      </w:hyperlink>
    </w:p>
    <w:p w14:paraId="3D2049A2" w14:textId="77777777" w:rsidR="00285647" w:rsidRDefault="00221F7F" w:rsidP="00285647">
      <w:pPr>
        <w:pStyle w:val="Normalbulletlist"/>
        <w:rPr>
          <w:rFonts w:eastAsia="Arial"/>
        </w:rPr>
      </w:pPr>
      <w:hyperlink r:id="rId14" w:history="1">
        <w:r>
          <w:rPr>
            <w:rStyle w:val="Hyperlink"/>
          </w:rPr>
          <w:t xml:space="preserve">ICO | Guide to the UK General Data Protection Regulation (UK GDPR)</w:t>
        </w:r>
      </w:hyperlink>
    </w:p>
    <w:p w14:paraId="5DDC70B1" w14:textId="77777777" w:rsidR="00285647" w:rsidRDefault="00221F7F" w:rsidP="00285647">
      <w:pPr>
        <w:pStyle w:val="Normalbulletlist"/>
        <w:rPr>
          <w:rFonts w:eastAsia="Arial"/>
        </w:rPr>
      </w:pPr>
      <w:hyperlink r:id="rId15" w:history="1">
        <w:r>
          <w:rPr>
            <w:rStyle w:val="Hyperlink"/>
          </w:rPr>
          <w:t xml:space="preserve">SIUE | Elements of Effective Group Presentations</w:t>
        </w:r>
      </w:hyperlink>
    </w:p>
    <w:p w14:paraId="08539F22" w14:textId="715EC608" w:rsidR="006B7E00" w:rsidRPr="00285647" w:rsidRDefault="00221F7F" w:rsidP="00285647">
      <w:pPr>
        <w:pStyle w:val="Normalbulletlist"/>
        <w:rPr>
          <w:rFonts w:eastAsia="Arial"/>
        </w:rPr>
      </w:pPr>
      <w:hyperlink r:id="rId16" w:history="1">
        <w:r>
          <w:rPr>
            <w:rStyle w:val="Hyperlink"/>
          </w:rPr>
          <w:t xml:space="preserve">YouTube | Step by step directions for creating a mind map</w:t>
        </w:r>
      </w:hyperlink>
    </w:p>
    <w:bookmarkEnd w:id="2"/>
    <w:bookmarkEnd w:id="3"/>
    <w:p w14:paraId="3050639E" w14:textId="05F0DF41" w:rsidR="00C82133" w:rsidRDefault="00C82133" w:rsidP="00C82133">
      <w:pPr>
        <w:pStyle w:val="Normalheadingblack"/>
      </w:pPr>
      <w:r>
        <w:t xml:space="preserve">Deddfwriaeth</w:t>
      </w:r>
      <w:r>
        <w:t xml:space="preserve"> </w:t>
      </w:r>
    </w:p>
    <w:p w14:paraId="202A5FA3" w14:textId="77777777" w:rsidR="00C82133" w:rsidRDefault="00221F7F" w:rsidP="00C82133">
      <w:pPr>
        <w:pStyle w:val="Normalbulletlist"/>
        <w:rPr>
          <w:rFonts w:eastAsia="Arial"/>
        </w:rPr>
      </w:pPr>
      <w:hyperlink r:id="rId17" w:history="1">
        <w:r>
          <w:rPr>
            <w:rStyle w:val="Hyperlink"/>
          </w:rPr>
          <w:t xml:space="preserve">GOV.UK | Data protection</w:t>
        </w:r>
      </w:hyperlink>
    </w:p>
    <w:p w14:paraId="7A870D9C" w14:textId="77777777" w:rsidR="00C82133" w:rsidRDefault="00221F7F" w:rsidP="00C82133">
      <w:pPr>
        <w:pStyle w:val="Normalbulletlist"/>
        <w:rPr>
          <w:rFonts w:eastAsia="Arial"/>
        </w:rPr>
      </w:pPr>
      <w:hyperlink r:id="rId18" w:history="1">
        <w:r>
          <w:rPr>
            <w:rStyle w:val="Hyperlink"/>
          </w:rPr>
          <w:t xml:space="preserve">GOV.UK | Consumer Rights Act 2015</w:t>
        </w:r>
      </w:hyperlink>
    </w:p>
    <w:p w14:paraId="2A22153B" w14:textId="77777777" w:rsidR="00C82133" w:rsidRDefault="00221F7F" w:rsidP="00C82133">
      <w:pPr>
        <w:pStyle w:val="Normalbulletlist"/>
        <w:rPr>
          <w:rFonts w:eastAsia="Arial"/>
        </w:rPr>
      </w:pPr>
      <w:hyperlink r:id="rId19" w:history="1">
        <w:r>
          <w:rPr>
            <w:rStyle w:val="Hyperlink"/>
          </w:rPr>
          <w:t xml:space="preserve">GOV.UK | Equality Act 2010</w:t>
        </w:r>
      </w:hyperlink>
    </w:p>
    <w:p w14:paraId="78954023" w14:textId="77777777" w:rsidR="00C82133" w:rsidRDefault="00221F7F" w:rsidP="00C82133">
      <w:pPr>
        <w:pStyle w:val="Normalbulletlist"/>
        <w:rPr>
          <w:rFonts w:eastAsia="Arial"/>
        </w:rPr>
      </w:pPr>
      <w:hyperlink r:id="rId20" w:history="1">
        <w:r>
          <w:rPr>
            <w:rStyle w:val="Hyperlink"/>
          </w:rPr>
          <w:t xml:space="preserve">GOV.UK | Equality Act 2010: guidance</w:t>
        </w:r>
      </w:hyperlink>
    </w:p>
    <w:p w14:paraId="38301409" w14:textId="77777777" w:rsidR="00C82133" w:rsidRDefault="00221F7F" w:rsidP="00C82133">
      <w:pPr>
        <w:pStyle w:val="Normalbulletlist"/>
      </w:pPr>
      <w:hyperlink r:id="rId21" w:history="1">
        <w:r>
          <w:rPr>
            <w:rStyle w:val="Hyperlink"/>
          </w:rPr>
          <w:t xml:space="preserve">GOV.UK | Guidance on promoting British values in schools published </w:t>
        </w:r>
      </w:hyperlink>
    </w:p>
    <w:p w14:paraId="277D63B4" w14:textId="77777777" w:rsidR="00C82133" w:rsidRDefault="00221F7F" w:rsidP="00C82133">
      <w:pPr>
        <w:pStyle w:val="Normalbulletlist"/>
      </w:pPr>
      <w:hyperlink r:id="rId22" w:history="1">
        <w:r>
          <w:rPr>
            <w:rStyle w:val="Hyperlink"/>
          </w:rPr>
          <w:t xml:space="preserve">GOV.UK | The use of social media for online radicalisation</w:t>
        </w:r>
      </w:hyperlink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56D9BB23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3ADE790A" w14:textId="77777777" w:rsidR="00811E84" w:rsidRDefault="00811E84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061A5293" w:rsidR="00811E84" w:rsidRDefault="00811E84" w:rsidP="00DF022A">
      <w:pPr>
        <w:pStyle w:val="Normalbulletsublist"/>
        <w:numPr>
          <w:ilvl w:val="0"/>
          <w:numId w:val="0"/>
        </w:numPr>
        <w:ind w:left="568" w:hanging="284"/>
        <w:sectPr w:rsidR="00811E84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3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099ED46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1D1D5F" w:rsidRPr="00D979B1" w14:paraId="1E63667F" w14:textId="77777777" w:rsidTr="00F85EBB">
        <w:trPr>
          <w:trHeight w:val="855"/>
        </w:trPr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A5EF4D0" w14:textId="706B4936" w:rsidR="001D1D5F" w:rsidRPr="00CD50CC" w:rsidRDefault="001D1D5F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mathau o wybodaeth dechnegol a swyddogaethol sydd ar gael ar gyfer y gwaith gosod a/neu gynnal a chadw</w:t>
            </w:r>
          </w:p>
        </w:tc>
        <w:tc>
          <w:tcPr>
            <w:tcW w:w="3627" w:type="dxa"/>
            <w:tcBorders>
              <w:top w:val="nil"/>
            </w:tcBorders>
          </w:tcPr>
          <w:p w14:paraId="404EE5F5" w14:textId="179B12FF" w:rsidR="001D1D5F" w:rsidRPr="00CD50CC" w:rsidRDefault="001D1D5F" w:rsidP="001D1D5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Ffynonellau gwybodaeth dechnegol a swyddogaethol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62A529A" w14:textId="2F90317B" w:rsidR="00B41D9F" w:rsidRDefault="00F5536C" w:rsidP="000159FD">
            <w:pPr>
              <w:pStyle w:val="Normalbulletlist"/>
            </w:pPr>
            <w:r>
              <w:t xml:space="preserve">Bydd dysgwyr yn ymchwilio, yn trafod ac yn cyfeirio at eu harferion eu hunain yn y diwydiant a’u profiadau yn y gweithle er mwyn gwella eu dealltwriaeth o wybodaeth dechnegol a swyddogaethol, gan gynnwys gwybodaeth briodol am iechyd a diogelwch fel:</w:t>
            </w:r>
            <w:r>
              <w:t xml:space="preserve"> </w:t>
            </w:r>
          </w:p>
          <w:p w14:paraId="057B7E92" w14:textId="5EC18136" w:rsidR="00B41D9F" w:rsidRDefault="00F5536C" w:rsidP="00B41D9F">
            <w:pPr>
              <w:pStyle w:val="Normalbulletsublist"/>
            </w:pPr>
            <w:r>
              <w:t xml:space="preserve">gwybodaeth a data gwneuthurwyr</w:t>
            </w:r>
          </w:p>
          <w:p w14:paraId="16EBD160" w14:textId="1062FC64" w:rsidR="00B41D9F" w:rsidRDefault="00F5536C" w:rsidP="00B41D9F">
            <w:pPr>
              <w:pStyle w:val="Normalbulletsublist"/>
            </w:pPr>
            <w:r>
              <w:t xml:space="preserve">gwybodaeth a data cyflenwyr</w:t>
            </w:r>
          </w:p>
          <w:p w14:paraId="01B79937" w14:textId="09259AEA" w:rsidR="00B41D9F" w:rsidRDefault="00F5536C" w:rsidP="00B41D9F">
            <w:pPr>
              <w:pStyle w:val="Normalbulletsublist"/>
            </w:pPr>
            <w:r>
              <w:t xml:space="preserve">gwybodaeth gan y sefydliad sy’n eu cyflogi</w:t>
            </w:r>
          </w:p>
          <w:p w14:paraId="18FB0F6C" w14:textId="676B0001" w:rsidR="00B41D9F" w:rsidRDefault="00F5536C" w:rsidP="00B41D9F">
            <w:pPr>
              <w:pStyle w:val="Normalbulletsublist"/>
            </w:pPr>
            <w:r>
              <w:t xml:space="preserve">manylebau gosod</w:t>
            </w:r>
          </w:p>
          <w:p w14:paraId="69DF10B2" w14:textId="1293A83F" w:rsidR="00B41D9F" w:rsidRDefault="00F5536C" w:rsidP="00B41D9F">
            <w:pPr>
              <w:pStyle w:val="Normalbulletsublist"/>
            </w:pPr>
            <w:r>
              <w:t xml:space="preserve">manylebau cleientiaid/cwsmeriaid</w:t>
            </w:r>
          </w:p>
          <w:p w14:paraId="19473704" w14:textId="2B1BCCFA" w:rsidR="00B41D9F" w:rsidRDefault="00F5536C" w:rsidP="00B41D9F">
            <w:pPr>
              <w:pStyle w:val="Normalbulletsublist"/>
            </w:pPr>
            <w:r>
              <w:t xml:space="preserve">manylebau</w:t>
            </w:r>
          </w:p>
          <w:p w14:paraId="5ED4FB7E" w14:textId="52176EF3" w:rsidR="00B41D9F" w:rsidRDefault="00F5536C" w:rsidP="00B41D9F">
            <w:pPr>
              <w:pStyle w:val="Normalbulletsublist"/>
            </w:pPr>
            <w:r>
              <w:t xml:space="preserve">lluniadau</w:t>
            </w:r>
          </w:p>
          <w:p w14:paraId="52A1A5D3" w14:textId="2BC0F6E7" w:rsidR="00F5536C" w:rsidRPr="00CD50CC" w:rsidRDefault="00F5536C" w:rsidP="00B41D9F">
            <w:pPr>
              <w:pStyle w:val="Normalbulletsublist"/>
            </w:pPr>
            <w:r>
              <w:t xml:space="preserve">diagramau.</w:t>
            </w:r>
            <w:r>
              <w:t xml:space="preserve"> </w:t>
            </w:r>
          </w:p>
        </w:tc>
      </w:tr>
      <w:tr w:rsidR="001D1D5F" w:rsidRPr="00D979B1" w14:paraId="56A284C1" w14:textId="77777777" w:rsidTr="00CD16E1">
        <w:trPr>
          <w:trHeight w:val="855"/>
        </w:trPr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FFA6B1" w14:textId="77777777" w:rsidR="001D1D5F" w:rsidRDefault="001D1D5F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</w:tcPr>
          <w:p w14:paraId="4DC43771" w14:textId="2C022BDB" w:rsidR="001D1D5F" w:rsidRDefault="001D1D5F" w:rsidP="001D1D5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Dehongli gwybodaeth a data technegol a swyddogaethol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12A399D" w14:textId="0C3B1ADE" w:rsidR="00871998" w:rsidRDefault="00F5536C" w:rsidP="001D1D5F">
            <w:pPr>
              <w:pStyle w:val="Normalbulletlist"/>
            </w:pPr>
            <w:r>
              <w:t xml:space="preserve">Bydd dysgwyr yn cydweithio mewn grwpiau bach ac yn trafod eu profiadau eu hunain yn y gweithle o sut mae dehongli rhai o’r dogfennau canlynol:</w:t>
            </w:r>
          </w:p>
          <w:p w14:paraId="5E1FCC88" w14:textId="4A57A111" w:rsidR="00871998" w:rsidRDefault="00F5536C" w:rsidP="00871998">
            <w:pPr>
              <w:pStyle w:val="Normalbulletsublist"/>
            </w:pPr>
            <w:r>
              <w:t xml:space="preserve">gwybodaeth a data gwneuthurwyr/cyflenwyr</w:t>
            </w:r>
          </w:p>
          <w:p w14:paraId="7CA2B958" w14:textId="66DE945C" w:rsidR="00871998" w:rsidRDefault="00F5536C" w:rsidP="00871998">
            <w:pPr>
              <w:pStyle w:val="Normalbulletsublist"/>
            </w:pPr>
            <w:r>
              <w:t xml:space="preserve">deunyddiau</w:t>
            </w:r>
          </w:p>
          <w:p w14:paraId="5B8AE0AE" w14:textId="6CC29E16" w:rsidR="00871998" w:rsidRDefault="00F5536C" w:rsidP="00871998">
            <w:pPr>
              <w:pStyle w:val="Normalbulletsublist"/>
            </w:pPr>
            <w:r>
              <w:t xml:space="preserve">chydrannau</w:t>
            </w:r>
          </w:p>
          <w:p w14:paraId="476E9606" w14:textId="4E4C360D" w:rsidR="00871998" w:rsidRDefault="00F5536C" w:rsidP="00871998">
            <w:pPr>
              <w:pStyle w:val="Normalbulletsublist"/>
            </w:pPr>
            <w:r>
              <w:t xml:space="preserve">cyfarpar</w:t>
            </w:r>
          </w:p>
          <w:p w14:paraId="1D5AA049" w14:textId="278DA9D3" w:rsidR="00871998" w:rsidRDefault="00F5536C" w:rsidP="00871998">
            <w:pPr>
              <w:pStyle w:val="Normalbulletsublist"/>
            </w:pPr>
            <w:r>
              <w:t xml:space="preserve">gwybodaeth gan y sefydliad sy’n eu cyflogi</w:t>
            </w:r>
          </w:p>
          <w:p w14:paraId="4AF7CBA7" w14:textId="4B6CE69B" w:rsidR="00871998" w:rsidRDefault="00F5536C" w:rsidP="00871998">
            <w:pPr>
              <w:pStyle w:val="Normalbulletsublist"/>
            </w:pPr>
            <w:r>
              <w:t xml:space="preserve">manylebau gosod</w:t>
            </w:r>
          </w:p>
          <w:p w14:paraId="579BE666" w14:textId="0A7FE86D" w:rsidR="00871998" w:rsidRDefault="00F5536C" w:rsidP="00871998">
            <w:pPr>
              <w:pStyle w:val="Normalbulletsublist"/>
            </w:pPr>
            <w:r>
              <w:t xml:space="preserve">manylebau cleientiaid/cwsmeriaid</w:t>
            </w:r>
          </w:p>
          <w:p w14:paraId="219165DC" w14:textId="0AA9A06E" w:rsidR="00871998" w:rsidRDefault="00F5536C" w:rsidP="00871998">
            <w:pPr>
              <w:pStyle w:val="Normalbulletsublist"/>
            </w:pPr>
            <w:r>
              <w:t xml:space="preserve">manylebau</w:t>
            </w:r>
          </w:p>
          <w:p w14:paraId="429EBD44" w14:textId="77777777" w:rsidR="00871998" w:rsidRDefault="00F5536C" w:rsidP="00871998">
            <w:pPr>
              <w:pStyle w:val="Normalbulletsublist"/>
            </w:pPr>
            <w:r>
              <w:t xml:space="preserve">lluniadau</w:t>
            </w:r>
            <w:r>
              <w:t xml:space="preserve"> </w:t>
            </w:r>
          </w:p>
          <w:p w14:paraId="7B8FCC6E" w14:textId="287C4639" w:rsidR="001D1D5F" w:rsidRPr="00CD50CC" w:rsidRDefault="00F5536C" w:rsidP="00871998">
            <w:pPr>
              <w:pStyle w:val="Normalbulletsublist"/>
            </w:pPr>
            <w:r>
              <w:t xml:space="preserve">diagramau.</w:t>
            </w:r>
          </w:p>
        </w:tc>
      </w:tr>
      <w:tr w:rsidR="00A57CD4" w:rsidRPr="00D979B1" w14:paraId="18580567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A3FA3AF" w14:textId="000306E1" w:rsidR="00A57CD4" w:rsidRPr="00CD50CC" w:rsidRDefault="001D1D5F" w:rsidP="00A57CD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gweithdrefnau ar gyfer cyflenwi gwybodaeth dechnegol a swyddogaethol i bobl berthnasol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6774DA4" w14:textId="498F4AB6" w:rsidR="00A57CD4" w:rsidRDefault="001D1D5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rhanddeiliaid y mae angen gwybodaeth dechnegol a swyddogaethol arnynt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26AAAE8" w14:textId="14CE7EB6" w:rsidR="00A57CD4" w:rsidRDefault="00F5536C" w:rsidP="00EF2E7B">
            <w:pPr>
              <w:pStyle w:val="Normalbulletlist"/>
            </w:pPr>
            <w:r>
              <w:t xml:space="preserve">Bydd dysgwyr yn llunio map meddwl o’r rhanddeiliaid a fyddai’n ymwneud â phrosiect bach sy’n berthnasol i’r llwybr o’u dewis.</w:t>
            </w:r>
          </w:p>
          <w:p w14:paraId="0DFD5D40" w14:textId="77777777" w:rsidR="008A0E8B" w:rsidRDefault="00DB4716" w:rsidP="00EF2E7B">
            <w:pPr>
              <w:pStyle w:val="Normalbulletlist"/>
            </w:pPr>
            <w:r>
              <w:t xml:space="preserve">Bydd dysgwyr yn cydweithio ac yn trafod eu mapiau meddwl i gynnwys rhanddeiliaid fel:</w:t>
            </w:r>
            <w:r>
              <w:t xml:space="preserve"> </w:t>
            </w:r>
          </w:p>
          <w:p w14:paraId="2E41D354" w14:textId="6AD9C53E" w:rsidR="008A0E8B" w:rsidRDefault="00DB4716" w:rsidP="008A0E8B">
            <w:pPr>
              <w:pStyle w:val="Normalbulletsublist"/>
            </w:pPr>
            <w:r>
              <w:t xml:space="preserve">cleientiaid</w:t>
            </w:r>
          </w:p>
          <w:p w14:paraId="10E3D5F1" w14:textId="46CDC504" w:rsidR="008A0E8B" w:rsidRDefault="00DB4716" w:rsidP="008A0E8B">
            <w:pPr>
              <w:pStyle w:val="Normalbulletsublist"/>
            </w:pPr>
            <w:r>
              <w:t xml:space="preserve">cwsmeriaid</w:t>
            </w:r>
          </w:p>
          <w:p w14:paraId="1DC7BEA6" w14:textId="627B6D4A" w:rsidR="008A0E8B" w:rsidRDefault="00DB4716" w:rsidP="008A0E8B">
            <w:pPr>
              <w:pStyle w:val="Normalbulletsublist"/>
            </w:pPr>
            <w:r>
              <w:t xml:space="preserve">prif gontractwyr</w:t>
            </w:r>
          </w:p>
          <w:p w14:paraId="26F6DCBE" w14:textId="16AFC091" w:rsidR="008A0E8B" w:rsidRDefault="00DB4716" w:rsidP="008A0E8B">
            <w:pPr>
              <w:pStyle w:val="Normalbulletsublist"/>
            </w:pPr>
            <w:r>
              <w:t xml:space="preserve">gwasanaethau eraill</w:t>
            </w:r>
            <w:r>
              <w:t xml:space="preserve"> </w:t>
            </w:r>
          </w:p>
          <w:p w14:paraId="29EA309F" w14:textId="677F38B7" w:rsidR="00DB4716" w:rsidRPr="00CD50CC" w:rsidRDefault="00DB4716" w:rsidP="008A0E8B">
            <w:pPr>
              <w:pStyle w:val="Normalbulletsublist"/>
            </w:pPr>
            <w:r>
              <w:t xml:space="preserve">rheolwyr safle.</w:t>
            </w:r>
          </w:p>
        </w:tc>
      </w:tr>
      <w:tr w:rsidR="00A57CD4" w:rsidRPr="00D979B1" w14:paraId="077DB3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3D3F865" w14:textId="1C272117" w:rsidR="00A57CD4" w:rsidRPr="00CD50CC" w:rsidRDefault="00A57CD4" w:rsidP="00636A0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ECE21A" w14:textId="48D5A0D8" w:rsidR="00A57CD4" w:rsidRDefault="001D1D5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Terfynau cyfrifoldeb ei rôl ei hun mewn perthynas â chyflenwi gwybodaeth dechnegol ac ymarferol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BAAEE1E" w14:textId="2B92EEFC" w:rsidR="00DB4716" w:rsidRPr="00CD50CC" w:rsidRDefault="00DB4716" w:rsidP="000159FD">
            <w:pPr>
              <w:pStyle w:val="Normalbulletlist"/>
            </w:pPr>
            <w:r>
              <w:t xml:space="preserve">Bydd dysgwyr yn ymchwilio ac yn deall terfynau eu rôl bresennol ac yn deall pryd i ganiatáu i reolwr llinell/goruchwyliwr weithredu.</w:t>
            </w:r>
          </w:p>
        </w:tc>
      </w:tr>
      <w:tr w:rsidR="00A57CD4" w:rsidRPr="00D979B1" w14:paraId="19986D72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1D0FAF4" w14:textId="17759884" w:rsidR="00A57CD4" w:rsidRPr="00CD50CC" w:rsidRDefault="00A57CD4" w:rsidP="001D1D5F">
            <w:pPr>
              <w:pStyle w:val="ListParagraph"/>
              <w:adjustRightInd w:val="0"/>
              <w:spacing w:line="240" w:lineRule="auto"/>
              <w:ind w:left="36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9382E18" w14:textId="1869C9FD" w:rsidR="00A57CD4" w:rsidRDefault="001D1D5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dulliau o ddarparu gwybodaeth dechnegol a swyddogaethol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B4D2530" w14:textId="4116D36B" w:rsidR="00A57CD4" w:rsidRPr="00CD50CC" w:rsidRDefault="00DB4716" w:rsidP="00EF2E7B">
            <w:pPr>
              <w:pStyle w:val="Normalbulletlist"/>
            </w:pPr>
            <w:r>
              <w:t xml:space="preserve">Bydd dysgwyr yn cydweithio ac yn trafod eu profiadau yn y gweithle o ddulliau eu sefydliad eu hunain o ddarparu gwybodaeth dechnegol a swyddogaethol.</w:t>
            </w:r>
          </w:p>
        </w:tc>
      </w:tr>
      <w:tr w:rsidR="001D1D5F" w:rsidRPr="00D979B1" w14:paraId="3E83D1F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6109D84" w14:textId="77777777" w:rsidR="001D1D5F" w:rsidRPr="00CD50CC" w:rsidRDefault="001D1D5F" w:rsidP="00636A0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2D6C14B" w14:textId="77777777" w:rsidR="001D1D5F" w:rsidRDefault="001D1D5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Pwysigrwydd sicrhau’r canlynol:</w:t>
            </w:r>
          </w:p>
          <w:p w14:paraId="4905F0C4" w14:textId="77777777" w:rsidR="001D1D5F" w:rsidRDefault="001D1D5F" w:rsidP="001D1D5F">
            <w:pPr>
              <w:pStyle w:val="Normalbulletsublist"/>
            </w:pPr>
            <w:r>
              <w:t xml:space="preserve">bod yr wybodaeth a ddarperir yn gywir ac yn gyflawn</w:t>
            </w:r>
          </w:p>
          <w:p w14:paraId="1B205D07" w14:textId="77777777" w:rsidR="001D1D5F" w:rsidRDefault="001D1D5F" w:rsidP="001D1D5F">
            <w:pPr>
              <w:pStyle w:val="Normalbulletsublist"/>
            </w:pPr>
            <w:r>
              <w:t xml:space="preserve">bod gwybodaeth yn cael ei darparu’n glir, yn gwrtais ac yn broffesiynol</w:t>
            </w:r>
          </w:p>
          <w:p w14:paraId="19CE9976" w14:textId="77777777" w:rsidR="001D1D5F" w:rsidRDefault="001D1D5F" w:rsidP="001D1D5F">
            <w:pPr>
              <w:pStyle w:val="Normalbulletsublist"/>
            </w:pPr>
            <w:r>
              <w:t xml:space="preserve">y cedwir copïau o’r wybodaeth a ddarperir</w:t>
            </w:r>
          </w:p>
          <w:p w14:paraId="2677D0B5" w14:textId="24AFEFAC" w:rsidR="001D1D5F" w:rsidRDefault="001D1D5F" w:rsidP="001D1D5F">
            <w:pPr>
              <w:pStyle w:val="Normalbulletsublist"/>
            </w:pPr>
            <w:r>
              <w:t xml:space="preserve">bod y gwaith gosod, ar ôl ei gwblhau, yn gweithredu’n unol â’r fanyleb, yn ddiogel ac yn cydymffurfio â safonau’r diwydiant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B90F3B" w14:textId="77777777" w:rsidR="00035692" w:rsidRDefault="00DB4716" w:rsidP="00035692">
            <w:pPr>
              <w:pStyle w:val="Normalbulletlist"/>
            </w:pPr>
            <w:r>
              <w:t xml:space="preserve">Bydd dysgwyr yn cydweithio ac yn trafod eu profiadau yn y gweithle o ddulliau ac arferion eu sefydliad eu hunain i sicrhau:</w:t>
            </w:r>
          </w:p>
          <w:p w14:paraId="4CD654D5" w14:textId="24B79A2F" w:rsidR="00035692" w:rsidRDefault="00DB4716" w:rsidP="003F493D">
            <w:pPr>
              <w:pStyle w:val="Normalbulletsublist"/>
            </w:pPr>
            <w:r>
              <w:t xml:space="preserve">bod yr wybodaeth a ddarperir yn gywir ac yn gyflawn</w:t>
            </w:r>
          </w:p>
          <w:p w14:paraId="5E4CBF36" w14:textId="2997BDA6" w:rsidR="00035692" w:rsidRDefault="00DB4716" w:rsidP="003F493D">
            <w:pPr>
              <w:pStyle w:val="Normalbulletsublist"/>
            </w:pPr>
            <w:r>
              <w:t xml:space="preserve">bod gwybodaeth yn cael ei darparu’n glir, yn gwrtais ac yn broffesiynol</w:t>
            </w:r>
          </w:p>
          <w:p w14:paraId="4126C54A" w14:textId="435A10C0" w:rsidR="00035692" w:rsidRDefault="00DB4716" w:rsidP="003F493D">
            <w:pPr>
              <w:pStyle w:val="Normalbulletsublist"/>
            </w:pPr>
            <w:r>
              <w:t xml:space="preserve">y cedwir copïau o’r wybodaeth a ddarperir</w:t>
            </w:r>
          </w:p>
          <w:p w14:paraId="41C40EBC" w14:textId="77823897" w:rsidR="00035692" w:rsidRDefault="00DB4716" w:rsidP="003F493D">
            <w:pPr>
              <w:pStyle w:val="Normalbulletsublist"/>
            </w:pPr>
            <w:r>
              <w:t xml:space="preserve">bod y swyddogaethau gosod gorffenedig wedi’u cwblhau yn unol â’r fanyleb</w:t>
            </w:r>
          </w:p>
          <w:p w14:paraId="4EB0BD8F" w14:textId="614DB177" w:rsidR="001D1D5F" w:rsidRDefault="00035692" w:rsidP="003F493D">
            <w:pPr>
              <w:pStyle w:val="Normalbulletsublist"/>
            </w:pPr>
            <w:r>
              <w:t xml:space="preserve">bod y gosodiad gorffenedig yn ddiogel ac yn cydymffurfio â safonau’r diwydiant.</w:t>
            </w:r>
          </w:p>
          <w:p w14:paraId="5D8E7DFA" w14:textId="2A0AB1AE" w:rsidR="00AE23BF" w:rsidRPr="00CD50CC" w:rsidRDefault="00AE23BF" w:rsidP="001D1D5F">
            <w:pPr>
              <w:pStyle w:val="Normalbulletlist"/>
            </w:pPr>
            <w:r>
              <w:t xml:space="preserve">Bydd dysgwyr yn cymryd rhan mewn senario chwarae rôl i dynnu sylw at y defnydd o’r arferion gwaith uchod.</w:t>
            </w:r>
          </w:p>
        </w:tc>
      </w:tr>
      <w:tr w:rsidR="00A57CD4" w:rsidRPr="00D979B1" w14:paraId="762C8974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3CBC29B" w14:textId="0A15B856" w:rsidR="00A57CD4" w:rsidRPr="00CD50CC" w:rsidRDefault="00A57CD4" w:rsidP="00636A0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AF56743" w14:textId="3EB2056D" w:rsidR="00A57CD4" w:rsidRDefault="001D1D5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dulliau ar gyfer sicrhau bod gan y bobl berthnasol ddealltwriaeth ddigonol o’r wybodaeth dechnegol ac annhechnegol a ddarperir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4BD571" w14:textId="3591FB28" w:rsidR="00A57CD4" w:rsidRDefault="00AE23BF" w:rsidP="00EF2E7B">
            <w:pPr>
              <w:pStyle w:val="Normalbulletlist"/>
            </w:pPr>
            <w:r>
              <w:t xml:space="preserve">Bydd dysgwyr yn cydweithio ac yn trafod eu profiadau yn y gweithle o ddulliau ac arferion eu sefydliad i sicrhau bod gan y bobl berthnasol ddealltwriaeth ddigonol o’r wybodaeth dechnegol ac annhechnegol a ddarperir.</w:t>
            </w:r>
          </w:p>
          <w:p w14:paraId="56CB6660" w14:textId="59C202A6" w:rsidR="001F5081" w:rsidRDefault="00AE23BF" w:rsidP="00EF2E7B">
            <w:pPr>
              <w:pStyle w:val="Normalbulletlist"/>
            </w:pPr>
            <w:r>
              <w:t xml:space="preserve">Bydd dysgwyr yn ymchwilio i dechnegau fel:</w:t>
            </w:r>
            <w:r>
              <w:t xml:space="preserve"> </w:t>
            </w:r>
          </w:p>
          <w:p w14:paraId="68A5A3C5" w14:textId="54ED83F2" w:rsidR="001F5081" w:rsidRDefault="008558DE" w:rsidP="00F57938">
            <w:pPr>
              <w:pStyle w:val="Normalbulletsublist"/>
            </w:pPr>
            <w:r>
              <w:t xml:space="preserve">tybio gwybodaeth sylfaenol</w:t>
            </w:r>
          </w:p>
          <w:p w14:paraId="59B8E37F" w14:textId="24FC60C5" w:rsidR="001F5081" w:rsidRDefault="008558DE" w:rsidP="00F57938">
            <w:pPr>
              <w:pStyle w:val="Normalbulletsublist"/>
            </w:pPr>
            <w:r>
              <w:t xml:space="preserve">effaith nid proses</w:t>
            </w:r>
            <w:r>
              <w:t xml:space="preserve"> </w:t>
            </w:r>
          </w:p>
          <w:p w14:paraId="03873C9A" w14:textId="3588BC9F" w:rsidR="00AE23BF" w:rsidRPr="00CD50CC" w:rsidRDefault="008558DE" w:rsidP="00F57938">
            <w:pPr>
              <w:pStyle w:val="Normalbulletsublist"/>
            </w:pPr>
            <w:r>
              <w:t xml:space="preserve">darlunio i addysgu.</w:t>
            </w:r>
          </w:p>
        </w:tc>
      </w:tr>
      <w:tr w:rsidR="00A57CD4" w:rsidRPr="00D979B1" w14:paraId="2DF4DFA8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F7632F3" w14:textId="4D7795B9" w:rsidR="00A57CD4" w:rsidRPr="00CD50CC" w:rsidRDefault="001D1D5F" w:rsidP="00636A0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 xml:space="preserve">Deall pwysigrwydd gwasanaeth i gwsmeriaid mewn perthynas â gwaith gosod a/neu gynnal a chadw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453D413F" w:rsidR="00A57CD4" w:rsidRPr="00CD50CC" w:rsidRDefault="001D1D5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Dulliau a gweithdrefnau’r sefydliad ar gyfer sefydlu perthynas gadarnhaol â chleientiaid a chwsmeriaid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9C1BF7A" w14:textId="555D80E5" w:rsidR="00A57CD4" w:rsidRDefault="008558DE" w:rsidP="00C51E22">
            <w:pPr>
              <w:pStyle w:val="Normalbulletlist"/>
            </w:pPr>
            <w:r>
              <w:t xml:space="preserve">Bydd dysgwyr yn cydweithio ac yn trafod eu profiadau yn y gweithle o ddulliau ac arferion eu sefydliad i sicrhau bod y gweithdrefnau sydd ar waith yn gweithio i sefydlu perthynas gadarnhaol â chleientiaid a chwsmeriaid.</w:t>
            </w:r>
          </w:p>
          <w:p w14:paraId="523CBA5C" w14:textId="515500F6" w:rsidR="008558DE" w:rsidRDefault="008558DE" w:rsidP="00C85C02">
            <w:pPr>
              <w:pStyle w:val="Normalbulletlist"/>
            </w:pPr>
            <w:r>
              <w:t xml:space="preserve">Bydd dysgwyr yn gweithio mewn grwpiau bach i greu map meddwl o’r dulliau a’r gweithdrefnau sefydliadol ar gyfer sefydlu perthynas gadarnhaol gyda chleientiaid a chwsmeriaid.</w:t>
            </w:r>
          </w:p>
          <w:p w14:paraId="05948667" w14:textId="25464059" w:rsidR="008558DE" w:rsidRPr="00CD50CC" w:rsidRDefault="008558DE" w:rsidP="00C85C02">
            <w:pPr>
              <w:pStyle w:val="Normalbulletlist"/>
            </w:pPr>
            <w:r>
              <w:t xml:space="preserve">Bydd dysgwyr yn trafod ac yn dehongli eu mapiau meddwl mewn cyflwyniadau grŵp.</w:t>
            </w:r>
          </w:p>
        </w:tc>
      </w:tr>
      <w:tr w:rsidR="001D1D5F" w:rsidRPr="00D979B1" w14:paraId="61BF6C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F039D6A" w14:textId="77777777" w:rsidR="001D1D5F" w:rsidRPr="00CD50CC" w:rsidRDefault="001D1D5F" w:rsidP="00636A0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8BA9EFB" w14:textId="4F9A2941" w:rsidR="001D1D5F" w:rsidRDefault="001D1D5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Gofynion ac arferion gwaith y cleientiaid a’r cwsmeriaid yn yr amgylchedd gwaith lle mae’r gwaith gosod a/neu gynnal a chadw yn cael ei wneud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179ACB" w14:textId="315654BE" w:rsidR="001A20C2" w:rsidRDefault="00490F7E" w:rsidP="00C51E22">
            <w:pPr>
              <w:pStyle w:val="Normalbulletlist"/>
            </w:pPr>
            <w:r>
              <w:t xml:space="preserve">Bydd dysgwyr yn trafod eu profiadau yn y gweithle o ddulliau ac arferion eu sefydliad eu hunain.</w:t>
            </w:r>
          </w:p>
          <w:p w14:paraId="5A71FB38" w14:textId="5EC8E82F" w:rsidR="00490F7E" w:rsidRPr="00CD50CC" w:rsidRDefault="001A20C2" w:rsidP="00C51E22">
            <w:pPr>
              <w:pStyle w:val="Normalbulletlist"/>
            </w:pPr>
            <w:r>
              <w:t xml:space="preserve">Bydd dysgwyr yn sicrhau bod gofynion ac arferion gwaith y cleientiaid a’r cwsmeriaid yn yr amgylchedd gwaith ar gyfer yr gwaith gosod a/neu gynnal a chadw yn cael eu bodloni.</w:t>
            </w:r>
          </w:p>
        </w:tc>
      </w:tr>
      <w:tr w:rsidR="001D1D5F" w:rsidRPr="00D979B1" w14:paraId="5D50DB9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F2B0554" w14:textId="77777777" w:rsidR="001D1D5F" w:rsidRPr="00CD50CC" w:rsidRDefault="001D1D5F" w:rsidP="00636A0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07818BE" w14:textId="77AC3DC9" w:rsidR="001D1D5F" w:rsidRDefault="001D1D5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cyfleoedd a’r rheoliadau sy’n effeithio ar y ffordd y mae gwybodaeth dechnegol a swyddogaethol yn cael ei darparu i gleientiaid a chwsmeriaid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671712E" w14:textId="2CD66F06" w:rsidR="00D505A0" w:rsidRDefault="00490F7E" w:rsidP="001D1D5F">
            <w:pPr>
              <w:pStyle w:val="Normalbulletlist"/>
            </w:pPr>
            <w:r>
              <w:t xml:space="preserve">Bydd dysgwyr yn ymchwilio ac yn deall y prif ofynion ar gyfer prosesu gwybodaeth dechnegol a swyddogaethol yn unol ag egwyddorion allweddol Deddf Diogelu Data 2018 (gweithrediad y DU o’r Rheoliad Cyffredinol ar Ddiogelu Data (GDPR)).</w:t>
            </w:r>
          </w:p>
          <w:p w14:paraId="162D0A24" w14:textId="6CEBCA6B" w:rsidR="001D1D5F" w:rsidRDefault="00D505A0" w:rsidP="001D1D5F">
            <w:pPr>
              <w:pStyle w:val="Normalbulletlist"/>
            </w:pPr>
            <w:r>
              <w:t xml:space="preserve">Bydd dysgwyr yn deall hawliau sylfaenol cleientiaid/cwsmeriaid o dan Ddeddf Hawliau Defnyddwyr 2015 sy’n cwmpasu prif bwyntiau Deddf Cydraddoldeb 2010.</w:t>
            </w:r>
          </w:p>
          <w:p w14:paraId="2A5A17D4" w14:textId="2DF31196" w:rsidR="00490F7E" w:rsidRPr="00CD50CC" w:rsidRDefault="00490F7E" w:rsidP="001D1D5F">
            <w:pPr>
              <w:pStyle w:val="Normalbulletlist"/>
            </w:pPr>
            <w:r>
              <w:t xml:space="preserve">Bydd dysgwyr yn cydweithio ac yn trafod eu profiadau yn y gweithle o ddulliau ac arferion eu sefydliad eu hunain i sicrhau bod y wybodaeth dechnegol a swyddogaethol yn cael ei darparu i gleientiaid a chwsmeriaid.</w:t>
            </w:r>
          </w:p>
        </w:tc>
      </w:tr>
      <w:tr w:rsidR="00A57CD4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71849B9C" w:rsidR="00A57CD4" w:rsidRPr="00CD50CC" w:rsidRDefault="00A57CD4" w:rsidP="00636A0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FC49782" w:rsidR="00A57CD4" w:rsidRPr="00CD50CC" w:rsidRDefault="001D1D5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Hawliau’r cleientiaid a’r cwsmeriaid gan gynnwys unrhyw gytundebau contract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722C814" w14:textId="7173B4C7" w:rsidR="00A57CD4" w:rsidRDefault="00490F7E" w:rsidP="00C85C02">
            <w:pPr>
              <w:pStyle w:val="Normalbulletlist"/>
            </w:pPr>
            <w:r>
              <w:t xml:space="preserve">Bydd dysgwyr yn cydweithio ac yn trafod eu profiadau yn y gweithle o ddulliau ac arferion eu sefydliad eu hunain i sicrhau eu bod yn deall hawliau’r cleientiaid a’r cwsmeriaid, gan gynnwys unrhyw gytundebau contract.</w:t>
            </w:r>
          </w:p>
          <w:p w14:paraId="21CF31F4" w14:textId="0E47A25A" w:rsidR="006B7E00" w:rsidRPr="00CD50CC" w:rsidRDefault="006B7E00" w:rsidP="00C85C02">
            <w:pPr>
              <w:pStyle w:val="Normalbulletlist"/>
            </w:pPr>
            <w:r>
              <w:t xml:space="preserve">Bydd dysgwyr yn ymchwilio ac yn deall cytundebau contract rhwng y cleientiaid a chwsmeriaid.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380A" w14:textId="77777777" w:rsidR="00BE3A8F" w:rsidRDefault="00BE3A8F">
      <w:pPr>
        <w:spacing w:before="0" w:after="0"/>
      </w:pPr>
      <w:r>
        <w:separator/>
      </w:r>
    </w:p>
  </w:endnote>
  <w:endnote w:type="continuationSeparator" w:id="0">
    <w:p w14:paraId="7DA90693" w14:textId="77777777" w:rsidR="00BE3A8F" w:rsidRDefault="00BE3A8F">
      <w:pPr>
        <w:spacing w:before="0" w:after="0"/>
      </w:pPr>
      <w:r>
        <w:continuationSeparator/>
      </w:r>
    </w:p>
  </w:endnote>
  <w:endnote w:type="continuationNotice" w:id="1">
    <w:p w14:paraId="16A3D1B7" w14:textId="77777777" w:rsidR="00BE3A8F" w:rsidRDefault="00BE3A8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973E21E" w:rsidR="008C49CA" w:rsidRPr="00041DCF" w:rsidRDefault="0040327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EAL.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 w:dirty="true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D8393" w14:textId="77777777" w:rsidR="00BE3A8F" w:rsidRDefault="00BE3A8F">
      <w:pPr>
        <w:spacing w:before="0" w:after="0"/>
      </w:pPr>
      <w:r>
        <w:separator/>
      </w:r>
    </w:p>
  </w:footnote>
  <w:footnote w:type="continuationSeparator" w:id="0">
    <w:p w14:paraId="498E7C45" w14:textId="77777777" w:rsidR="00BE3A8F" w:rsidRDefault="00BE3A8F">
      <w:pPr>
        <w:spacing w:before="0" w:after="0"/>
      </w:pPr>
      <w:r>
        <w:continuationSeparator/>
      </w:r>
    </w:p>
  </w:footnote>
  <w:footnote w:type="continuationNotice" w:id="1">
    <w:p w14:paraId="5AD3DA31" w14:textId="77777777" w:rsidR="00BE3A8F" w:rsidRDefault="00BE3A8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4798C640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</w:rPr>
      <w:t xml:space="preserve">Peirianneg Gwasanaethau Adeiladu (Lefel 3)</w:t>
    </w:r>
  </w:p>
  <w:p w14:paraId="1A87A6D0" w14:textId="7A72C70D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877BEB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313: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77077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6EC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DFEB6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FC477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26A1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38818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52B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F22A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159FD"/>
    <w:rsid w:val="000279C8"/>
    <w:rsid w:val="000355F3"/>
    <w:rsid w:val="00035692"/>
    <w:rsid w:val="00041DCF"/>
    <w:rsid w:val="000462D0"/>
    <w:rsid w:val="000464A1"/>
    <w:rsid w:val="00052D44"/>
    <w:rsid w:val="000625C1"/>
    <w:rsid w:val="00077B8F"/>
    <w:rsid w:val="00083ED7"/>
    <w:rsid w:val="0008737F"/>
    <w:rsid w:val="000A7B23"/>
    <w:rsid w:val="000B475D"/>
    <w:rsid w:val="000D7197"/>
    <w:rsid w:val="000E3286"/>
    <w:rsid w:val="000E7C90"/>
    <w:rsid w:val="000F1280"/>
    <w:rsid w:val="000F364F"/>
    <w:rsid w:val="00100DE4"/>
    <w:rsid w:val="00101FC3"/>
    <w:rsid w:val="00102645"/>
    <w:rsid w:val="00103400"/>
    <w:rsid w:val="00106031"/>
    <w:rsid w:val="00106685"/>
    <w:rsid w:val="00114C7A"/>
    <w:rsid w:val="00126511"/>
    <w:rsid w:val="00130DF7"/>
    <w:rsid w:val="00134922"/>
    <w:rsid w:val="00143276"/>
    <w:rsid w:val="00153EEC"/>
    <w:rsid w:val="0017259D"/>
    <w:rsid w:val="001759B2"/>
    <w:rsid w:val="00183375"/>
    <w:rsid w:val="00194C52"/>
    <w:rsid w:val="00195896"/>
    <w:rsid w:val="00197A45"/>
    <w:rsid w:val="001A20C2"/>
    <w:rsid w:val="001A7852"/>
    <w:rsid w:val="001A7C68"/>
    <w:rsid w:val="001B4FD3"/>
    <w:rsid w:val="001C0CA5"/>
    <w:rsid w:val="001C1968"/>
    <w:rsid w:val="001C72F7"/>
    <w:rsid w:val="001D1D5F"/>
    <w:rsid w:val="001D2C30"/>
    <w:rsid w:val="001E1554"/>
    <w:rsid w:val="001E6D3F"/>
    <w:rsid w:val="001F5081"/>
    <w:rsid w:val="001F60AD"/>
    <w:rsid w:val="00204B0D"/>
    <w:rsid w:val="00205182"/>
    <w:rsid w:val="002070CC"/>
    <w:rsid w:val="002178FC"/>
    <w:rsid w:val="00221F7F"/>
    <w:rsid w:val="002434BD"/>
    <w:rsid w:val="00273525"/>
    <w:rsid w:val="00285647"/>
    <w:rsid w:val="002A24D9"/>
    <w:rsid w:val="002A4F81"/>
    <w:rsid w:val="002D2938"/>
    <w:rsid w:val="002D44D0"/>
    <w:rsid w:val="002E4B7C"/>
    <w:rsid w:val="002F145D"/>
    <w:rsid w:val="002F2A70"/>
    <w:rsid w:val="00312073"/>
    <w:rsid w:val="00315BA4"/>
    <w:rsid w:val="00321A9E"/>
    <w:rsid w:val="00337DF5"/>
    <w:rsid w:val="00342F12"/>
    <w:rsid w:val="003553A4"/>
    <w:rsid w:val="003558D5"/>
    <w:rsid w:val="003729D3"/>
    <w:rsid w:val="00372FB3"/>
    <w:rsid w:val="00376CB6"/>
    <w:rsid w:val="00396404"/>
    <w:rsid w:val="003C415E"/>
    <w:rsid w:val="003F493D"/>
    <w:rsid w:val="0040327F"/>
    <w:rsid w:val="004057E7"/>
    <w:rsid w:val="0041389A"/>
    <w:rsid w:val="0045095C"/>
    <w:rsid w:val="004523E2"/>
    <w:rsid w:val="00457D67"/>
    <w:rsid w:val="0046039E"/>
    <w:rsid w:val="00464277"/>
    <w:rsid w:val="00466297"/>
    <w:rsid w:val="00490F7E"/>
    <w:rsid w:val="00494738"/>
    <w:rsid w:val="004A2268"/>
    <w:rsid w:val="004B6E5D"/>
    <w:rsid w:val="004C705A"/>
    <w:rsid w:val="004D0BA5"/>
    <w:rsid w:val="004E191A"/>
    <w:rsid w:val="00507732"/>
    <w:rsid w:val="00514DD2"/>
    <w:rsid w:val="00515462"/>
    <w:rsid w:val="00521951"/>
    <w:rsid w:val="00524839"/>
    <w:rsid w:val="005329BB"/>
    <w:rsid w:val="00537FC4"/>
    <w:rsid w:val="00552896"/>
    <w:rsid w:val="00564AED"/>
    <w:rsid w:val="0056783E"/>
    <w:rsid w:val="00570E11"/>
    <w:rsid w:val="00577ED7"/>
    <w:rsid w:val="0058088A"/>
    <w:rsid w:val="00582A25"/>
    <w:rsid w:val="00582E73"/>
    <w:rsid w:val="005A503B"/>
    <w:rsid w:val="005E5329"/>
    <w:rsid w:val="005F2754"/>
    <w:rsid w:val="00613AB3"/>
    <w:rsid w:val="0061455B"/>
    <w:rsid w:val="00626FFC"/>
    <w:rsid w:val="00635630"/>
    <w:rsid w:val="00636A01"/>
    <w:rsid w:val="00641F5D"/>
    <w:rsid w:val="00657E0F"/>
    <w:rsid w:val="00672BED"/>
    <w:rsid w:val="006808EB"/>
    <w:rsid w:val="00685E77"/>
    <w:rsid w:val="006B23A9"/>
    <w:rsid w:val="006B7E00"/>
    <w:rsid w:val="006C0843"/>
    <w:rsid w:val="006D32A6"/>
    <w:rsid w:val="006D4994"/>
    <w:rsid w:val="006D731C"/>
    <w:rsid w:val="006E315C"/>
    <w:rsid w:val="006E67F0"/>
    <w:rsid w:val="006E7C99"/>
    <w:rsid w:val="00702A28"/>
    <w:rsid w:val="00704B0B"/>
    <w:rsid w:val="007072B7"/>
    <w:rsid w:val="0071471E"/>
    <w:rsid w:val="00715647"/>
    <w:rsid w:val="0072439E"/>
    <w:rsid w:val="00727ADC"/>
    <w:rsid w:val="007317D2"/>
    <w:rsid w:val="00733A39"/>
    <w:rsid w:val="007350D0"/>
    <w:rsid w:val="00756D14"/>
    <w:rsid w:val="00767C9F"/>
    <w:rsid w:val="00772D58"/>
    <w:rsid w:val="00777D67"/>
    <w:rsid w:val="00784D07"/>
    <w:rsid w:val="00786E7D"/>
    <w:rsid w:val="0079118A"/>
    <w:rsid w:val="007A5093"/>
    <w:rsid w:val="007A693A"/>
    <w:rsid w:val="007B50CD"/>
    <w:rsid w:val="007D0058"/>
    <w:rsid w:val="008005D4"/>
    <w:rsid w:val="00801706"/>
    <w:rsid w:val="00811E84"/>
    <w:rsid w:val="00812680"/>
    <w:rsid w:val="00847CC6"/>
    <w:rsid w:val="00850408"/>
    <w:rsid w:val="008558DE"/>
    <w:rsid w:val="00857CF1"/>
    <w:rsid w:val="00871998"/>
    <w:rsid w:val="00880EAA"/>
    <w:rsid w:val="00885ED3"/>
    <w:rsid w:val="00886270"/>
    <w:rsid w:val="008A0E8B"/>
    <w:rsid w:val="008A30F5"/>
    <w:rsid w:val="008A31BC"/>
    <w:rsid w:val="008A347B"/>
    <w:rsid w:val="008A4FC4"/>
    <w:rsid w:val="008B030B"/>
    <w:rsid w:val="008B417F"/>
    <w:rsid w:val="008B6186"/>
    <w:rsid w:val="008C49CA"/>
    <w:rsid w:val="008D37DF"/>
    <w:rsid w:val="008E411D"/>
    <w:rsid w:val="008F2236"/>
    <w:rsid w:val="0090187A"/>
    <w:rsid w:val="00905483"/>
    <w:rsid w:val="00905996"/>
    <w:rsid w:val="009059C9"/>
    <w:rsid w:val="0094112A"/>
    <w:rsid w:val="00954ECD"/>
    <w:rsid w:val="00962BD3"/>
    <w:rsid w:val="009674DC"/>
    <w:rsid w:val="0098637D"/>
    <w:rsid w:val="009868CA"/>
    <w:rsid w:val="0098732F"/>
    <w:rsid w:val="0099094F"/>
    <w:rsid w:val="009A272A"/>
    <w:rsid w:val="009B0EE5"/>
    <w:rsid w:val="009B62B1"/>
    <w:rsid w:val="009B740D"/>
    <w:rsid w:val="009C0CB2"/>
    <w:rsid w:val="009D0107"/>
    <w:rsid w:val="009D274B"/>
    <w:rsid w:val="009D56CC"/>
    <w:rsid w:val="009E0787"/>
    <w:rsid w:val="009F1EE2"/>
    <w:rsid w:val="00A1277C"/>
    <w:rsid w:val="00A16377"/>
    <w:rsid w:val="00A20863"/>
    <w:rsid w:val="00A50FDB"/>
    <w:rsid w:val="00A57CD4"/>
    <w:rsid w:val="00A616D2"/>
    <w:rsid w:val="00A63F2B"/>
    <w:rsid w:val="00A70489"/>
    <w:rsid w:val="00A71800"/>
    <w:rsid w:val="00AA08E6"/>
    <w:rsid w:val="00AA66B6"/>
    <w:rsid w:val="00AB366F"/>
    <w:rsid w:val="00AB5875"/>
    <w:rsid w:val="00AC2878"/>
    <w:rsid w:val="00AC3BFD"/>
    <w:rsid w:val="00AC59B7"/>
    <w:rsid w:val="00AE23BF"/>
    <w:rsid w:val="00AE64CD"/>
    <w:rsid w:val="00AF03BF"/>
    <w:rsid w:val="00AF252C"/>
    <w:rsid w:val="00AF3289"/>
    <w:rsid w:val="00AF7A4F"/>
    <w:rsid w:val="00B016BE"/>
    <w:rsid w:val="00B0190D"/>
    <w:rsid w:val="00B039CD"/>
    <w:rsid w:val="00B13391"/>
    <w:rsid w:val="00B27B25"/>
    <w:rsid w:val="00B41D9F"/>
    <w:rsid w:val="00B66ECB"/>
    <w:rsid w:val="00B700C0"/>
    <w:rsid w:val="00B73C3E"/>
    <w:rsid w:val="00B74F03"/>
    <w:rsid w:val="00B752E1"/>
    <w:rsid w:val="00B772B2"/>
    <w:rsid w:val="00B93185"/>
    <w:rsid w:val="00B94630"/>
    <w:rsid w:val="00B966B9"/>
    <w:rsid w:val="00B9709E"/>
    <w:rsid w:val="00BB26B8"/>
    <w:rsid w:val="00BC28B4"/>
    <w:rsid w:val="00BD0D10"/>
    <w:rsid w:val="00BD12F2"/>
    <w:rsid w:val="00BD1647"/>
    <w:rsid w:val="00BD2993"/>
    <w:rsid w:val="00BD5BAD"/>
    <w:rsid w:val="00BE0E94"/>
    <w:rsid w:val="00BE3A8F"/>
    <w:rsid w:val="00BE7EE7"/>
    <w:rsid w:val="00BF0FE3"/>
    <w:rsid w:val="00BF20EA"/>
    <w:rsid w:val="00BF3408"/>
    <w:rsid w:val="00BF7512"/>
    <w:rsid w:val="00C269AC"/>
    <w:rsid w:val="00C344FE"/>
    <w:rsid w:val="00C51E22"/>
    <w:rsid w:val="00C573C2"/>
    <w:rsid w:val="00C629D1"/>
    <w:rsid w:val="00C6602A"/>
    <w:rsid w:val="00C82133"/>
    <w:rsid w:val="00C859F7"/>
    <w:rsid w:val="00C85C02"/>
    <w:rsid w:val="00CA4288"/>
    <w:rsid w:val="00CB165E"/>
    <w:rsid w:val="00CC1C2A"/>
    <w:rsid w:val="00CC265F"/>
    <w:rsid w:val="00CD50CC"/>
    <w:rsid w:val="00CE2315"/>
    <w:rsid w:val="00CF7F32"/>
    <w:rsid w:val="00D04BE6"/>
    <w:rsid w:val="00D129BC"/>
    <w:rsid w:val="00D14B60"/>
    <w:rsid w:val="00D33FC2"/>
    <w:rsid w:val="00D34604"/>
    <w:rsid w:val="00D41D6F"/>
    <w:rsid w:val="00D44A96"/>
    <w:rsid w:val="00D45288"/>
    <w:rsid w:val="00D45331"/>
    <w:rsid w:val="00D505A0"/>
    <w:rsid w:val="00D70CD6"/>
    <w:rsid w:val="00D7542B"/>
    <w:rsid w:val="00D76422"/>
    <w:rsid w:val="00D8348D"/>
    <w:rsid w:val="00D92020"/>
    <w:rsid w:val="00D93C78"/>
    <w:rsid w:val="00D979B1"/>
    <w:rsid w:val="00DB198B"/>
    <w:rsid w:val="00DB3BF5"/>
    <w:rsid w:val="00DB4716"/>
    <w:rsid w:val="00DC642B"/>
    <w:rsid w:val="00DE572B"/>
    <w:rsid w:val="00DE647C"/>
    <w:rsid w:val="00DF0116"/>
    <w:rsid w:val="00DF022A"/>
    <w:rsid w:val="00DF4F8B"/>
    <w:rsid w:val="00DF5AEE"/>
    <w:rsid w:val="00E031BB"/>
    <w:rsid w:val="00E2563B"/>
    <w:rsid w:val="00E26CCE"/>
    <w:rsid w:val="00E511ED"/>
    <w:rsid w:val="00E54036"/>
    <w:rsid w:val="00E54F31"/>
    <w:rsid w:val="00E56577"/>
    <w:rsid w:val="00E6073F"/>
    <w:rsid w:val="00E766BE"/>
    <w:rsid w:val="00E77982"/>
    <w:rsid w:val="00E92EFF"/>
    <w:rsid w:val="00E95CA3"/>
    <w:rsid w:val="00EA31CB"/>
    <w:rsid w:val="00EC6463"/>
    <w:rsid w:val="00EF2E7B"/>
    <w:rsid w:val="00EF33B4"/>
    <w:rsid w:val="00EF58CA"/>
    <w:rsid w:val="00EF6580"/>
    <w:rsid w:val="00F03C3F"/>
    <w:rsid w:val="00F13060"/>
    <w:rsid w:val="00F160AE"/>
    <w:rsid w:val="00F23F4A"/>
    <w:rsid w:val="00F262DE"/>
    <w:rsid w:val="00F30345"/>
    <w:rsid w:val="00F418EF"/>
    <w:rsid w:val="00F42FC2"/>
    <w:rsid w:val="00F523C4"/>
    <w:rsid w:val="00F52A5C"/>
    <w:rsid w:val="00F5536C"/>
    <w:rsid w:val="00F5720D"/>
    <w:rsid w:val="00F57938"/>
    <w:rsid w:val="00F754CA"/>
    <w:rsid w:val="00F84E84"/>
    <w:rsid w:val="00F93080"/>
    <w:rsid w:val="00FA1C3D"/>
    <w:rsid w:val="00FA2636"/>
    <w:rsid w:val="00FC7BD0"/>
    <w:rsid w:val="00FD198C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B4716"/>
    <w:rPr>
      <w:color w:val="605E5C"/>
      <w:shd w:val="clear" w:color="auto" w:fill="E1DFDD"/>
    </w:rPr>
  </w:style>
  <w:style w:type="paragraph" w:styleId="Revision">
    <w:name w:val="Revision"/>
    <w:hidden/>
    <w:semiHidden/>
    <w:rsid w:val="00767C9F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ntractscounsel.com/t/us/contractual-agreement" TargetMode="External"/><Relationship Id="rId18" Type="http://schemas.openxmlformats.org/officeDocument/2006/relationships/hyperlink" Target="https://www.legislation.gov.uk/ukpga/2015/15/content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gov.uk/government/news/guidance-on-promoting-british-values-in-schools-publishe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businessballs.com/amusement-stress-relief/role-playing-and-role-play-games-process-and-tips/" TargetMode="External"/><Relationship Id="rId17" Type="http://schemas.openxmlformats.org/officeDocument/2006/relationships/hyperlink" Target="https://www.gov.uk/data-protection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oY4sUQzXJ1g" TargetMode="External"/><Relationship Id="rId20" Type="http://schemas.openxmlformats.org/officeDocument/2006/relationships/hyperlink" Target="https://www.gov.uk/guidance/equality-act-2010-guidanc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siue.edu/artsandsciences/acs/SpeechCenter/EffectiveGroup.shtml" TargetMode="External"/><Relationship Id="rId23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hyperlink" Target="https://www.legislation.gov.uk/ukpga/2010/15/content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ico.org.uk/for-organisations/guide-to-data-protection/guide-to-the-general-data-protection-regulation-gdpr/" TargetMode="External"/><Relationship Id="rId22" Type="http://schemas.openxmlformats.org/officeDocument/2006/relationships/hyperlink" Target="https://www.gov.uk/government/publications/the-use-of-social-media-for-online-radicalisa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3789E7-94E0-4BD3-B9EB-75C46BF19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3D361D-E071-4EC9-A969-B4E681CD81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CDFFAE-7205-49F4-8D64-7AE8F0F3C2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1423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2021-11-05T11:44:00Z</dcterms:created>
  <dcterms:modified xsi:type="dcterms:W3CDTF">2021-12-09T16:11:00Z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