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7032EAA" w:rsidR="00CC1C2A" w:rsidRDefault="00376CB6" w:rsidP="00205182">
      <w:pPr>
        <w:pStyle w:val="Unittitle"/>
      </w:pPr>
      <w:r>
        <w:t xml:space="preserve">Uned 302:</w:t>
      </w:r>
      <w:r>
        <w:t xml:space="preserve"> </w:t>
      </w:r>
      <w:r>
        <w:t xml:space="preserve">Gweithio yn y Sector Peirianneg Gwasanaethau Adeiladu yng Nghymru</w:t>
      </w:r>
    </w:p>
    <w:p w14:paraId="3719F5E0" w14:textId="5A6CEFD1" w:rsidR="009B0EE5" w:rsidRPr="0040327F" w:rsidRDefault="006B23A9" w:rsidP="000F364F">
      <w:pPr>
        <w:pStyle w:val="Heading1"/>
        <w:sectPr w:rsidR="009B0EE5" w:rsidRPr="0040327F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63A8D3F6" w14:textId="77777777" w:rsidR="00AC2878" w:rsidRDefault="00AC2878" w:rsidP="000F364F">
      <w:pPr>
        <w:spacing w:before="0" w:line="240" w:lineRule="auto"/>
      </w:pPr>
      <w:r>
        <w:t xml:space="preserve">Mae’r uned hon yn rhoi dealltwriaeth gyfannol i’r dysgwr o’r amgylchedd adeiledig yng Nghymru, sut y mae wedi newid, a’r angen am amgylchedd adeiledig diogel a chyflawni prosiectau/gwaith diogel.</w:t>
      </w:r>
    </w:p>
    <w:p w14:paraId="2F34F6EE" w14:textId="5ED874E8" w:rsidR="00AC2878" w:rsidRDefault="00AC2878" w:rsidP="000F364F">
      <w:pPr>
        <w:spacing w:before="0" w:line="240" w:lineRule="auto"/>
      </w:pPr>
      <w:r>
        <w:t xml:space="preserve">Bydd dysgwyr hefyd yn gwerthfawrogi pwysigrwydd cynllunio ac adolygu gwaith, a sut mae gwneud gwaith cynllunio a gwerthuso effeithiol.</w:t>
      </w:r>
      <w:r>
        <w:t xml:space="preserve"> </w:t>
      </w:r>
      <w:r>
        <w:t xml:space="preserve">Bydd dysgwyr yn deall pwysigrwydd gweithio a chyfathrebu’n effeithiol ag eraill.</w:t>
      </w:r>
      <w:r>
        <w:t xml:space="preserve"> </w:t>
      </w:r>
    </w:p>
    <w:p w14:paraId="18E07F45" w14:textId="33B483E7" w:rsidR="00515462" w:rsidRDefault="00515462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357D59CF" w14:textId="77777777" w:rsidR="00AC2878" w:rsidRDefault="00AC2878" w:rsidP="00AC2878">
      <w:pPr>
        <w:pStyle w:val="Normalbulletlist"/>
      </w:pPr>
      <w:r>
        <w:t xml:space="preserve">Beth yw ystyr yr amgylchedd adeiledig?</w:t>
      </w:r>
    </w:p>
    <w:p w14:paraId="4A9359B9" w14:textId="77777777" w:rsidR="00AC2878" w:rsidRDefault="00AC2878" w:rsidP="00AC2878">
      <w:pPr>
        <w:pStyle w:val="Normalbulletlist"/>
      </w:pPr>
      <w:r>
        <w:t xml:space="preserve">Pa ffactorau sy’n dylanwadu ar newid yn yr amgylchedd adeiledig?</w:t>
      </w:r>
    </w:p>
    <w:p w14:paraId="54F42F55" w14:textId="0805F2AF" w:rsidR="00AC2878" w:rsidRDefault="00AC2878" w:rsidP="00AC2878">
      <w:pPr>
        <w:pStyle w:val="Normalbulletlist"/>
      </w:pPr>
      <w:r>
        <w:t xml:space="preserve">Pam ei bod yn bwysig cael perthnasoedd gwaith cynhyrchiol?</w:t>
      </w:r>
    </w:p>
    <w:p w14:paraId="0D5A7600" w14:textId="2C744A9C" w:rsidR="00515462" w:rsidRDefault="00515462" w:rsidP="000F364F">
      <w:pPr>
        <w:spacing w:before="0" w:line="240" w:lineRule="auto"/>
      </w:pPr>
      <w:r>
        <w:br/>
      </w:r>
      <w:r>
        <w:t xml:space="preserve">Argymhellir cyn ymgymryd â’r uned hon y dylai Uned 301 fod wedi ei haddysgu i’r dysgwyr.</w:t>
      </w:r>
      <w:r>
        <w:br/>
      </w:r>
    </w:p>
    <w:p w14:paraId="045F0942" w14:textId="77777777" w:rsidR="00130DF7" w:rsidRDefault="00130DF7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69C8C4D" w14:textId="77777777" w:rsidR="00130DF7" w:rsidRDefault="00130DF7" w:rsidP="00DF022A">
      <w:pPr>
        <w:pStyle w:val="ListParagraph"/>
        <w:numPr>
          <w:ilvl w:val="0"/>
          <w:numId w:val="28"/>
        </w:numPr>
      </w:pPr>
      <w:r>
        <w:t xml:space="preserve">Deall yr amgylchedd adeiledig yng Nghymru</w:t>
      </w:r>
    </w:p>
    <w:p w14:paraId="4C0AC20E" w14:textId="77777777" w:rsidR="00130DF7" w:rsidRDefault="00130DF7" w:rsidP="00DF022A">
      <w:pPr>
        <w:pStyle w:val="ListParagraph"/>
        <w:numPr>
          <w:ilvl w:val="0"/>
          <w:numId w:val="28"/>
        </w:numPr>
      </w:pPr>
      <w:r>
        <w:t xml:space="preserve">Deall sut i weithio’n effeithiol gydag eraill</w:t>
      </w:r>
    </w:p>
    <w:p w14:paraId="3FD18037" w14:textId="33C5BC76" w:rsidR="00DF022A" w:rsidRDefault="00DF022A" w:rsidP="00130DF7">
      <w:pPr>
        <w:pStyle w:val="ListParagraph"/>
        <w:ind w:left="360"/>
      </w:pPr>
    </w:p>
    <w:p w14:paraId="43DBC5A5" w14:textId="77777777" w:rsidR="00355C3F" w:rsidRDefault="00355C3F" w:rsidP="00130DF7">
      <w:pPr>
        <w:pStyle w:val="ListParagraph"/>
        <w:ind w:left="360"/>
      </w:pPr>
    </w:p>
    <w:p w14:paraId="05E8087E" w14:textId="6776B2DD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798BBED" w14:textId="77777777" w:rsidR="00114C7A" w:rsidRDefault="00114C7A" w:rsidP="00114C7A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p w14:paraId="41BE8D14" w14:textId="77777777" w:rsidR="00321B0C" w:rsidRPr="00542A01" w:rsidRDefault="00321B0C" w:rsidP="00321B0C">
      <w:pPr>
        <w:pStyle w:val="Normalbulletlist"/>
        <w:rPr>
          <w:rFonts w:eastAsia="Arial"/>
        </w:rPr>
      </w:pPr>
      <w:r>
        <w:t xml:space="preserve">Gashe, M., Byrne, K.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Plastering for Levels 1 and 2.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463712DB" w14:textId="77777777" w:rsidR="00321B0C" w:rsidRDefault="00321B0C" w:rsidP="00321B0C">
      <w:pPr>
        <w:pStyle w:val="Normalbulletlist"/>
        <w:numPr>
          <w:ilvl w:val="0"/>
          <w:numId w:val="0"/>
        </w:numPr>
        <w:ind w:left="284"/>
      </w:pPr>
      <w:r>
        <w:t xml:space="preserve">ISBN 978-1-3983-0647-9</w:t>
      </w:r>
    </w:p>
    <w:p w14:paraId="69108140" w14:textId="7C51DE05" w:rsidR="004A7399" w:rsidRDefault="004A7399" w:rsidP="00D874C7">
      <w:pPr>
        <w:pStyle w:val="Normalbulletlist"/>
        <w:rPr>
          <w:rFonts w:eastAsia="Arial"/>
        </w:rPr>
      </w:pPr>
      <w:r>
        <w:t xml:space="preserve">Kibert C. J. (2016)</w:t>
      </w:r>
      <w:r>
        <w:rPr>
          <w:i/>
        </w:rPr>
        <w:t xml:space="preserve"> Sustainable Construction:</w:t>
      </w:r>
      <w:r>
        <w:rPr>
          <w:i/>
        </w:rPr>
        <w:t xml:space="preserve"> </w:t>
      </w:r>
      <w:r>
        <w:rPr>
          <w:i/>
        </w:rPr>
        <w:t xml:space="preserve">Green Building Design and Delivery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Wiley.</w:t>
      </w:r>
    </w:p>
    <w:p w14:paraId="3AD67FCE" w14:textId="104B15E5" w:rsidR="00834BB4" w:rsidRPr="00D874C7" w:rsidRDefault="00834BB4" w:rsidP="00542A01">
      <w:pPr>
        <w:pStyle w:val="Normalbulletlist"/>
        <w:numPr>
          <w:ilvl w:val="0"/>
          <w:numId w:val="0"/>
        </w:numPr>
        <w:ind w:left="284"/>
        <w:rPr>
          <w:rFonts w:eastAsia="Arial"/>
        </w:rPr>
      </w:pPr>
      <w:r>
        <w:t xml:space="preserve">ISBN 978-1-1190-5517-4</w:t>
      </w:r>
    </w:p>
    <w:bookmarkEnd w:id="0"/>
    <w:p w14:paraId="1BD22A58" w14:textId="77777777" w:rsidR="00B26426" w:rsidRDefault="00B26426" w:rsidP="00B26426">
      <w:pPr>
        <w:pStyle w:val="Normalbulletlist"/>
      </w:pPr>
      <w:r>
        <w:t xml:space="preserve">Tanner, P. (2019) </w:t>
      </w:r>
      <w:r>
        <w:rPr>
          <w:i/>
        </w:rPr>
        <w:t xml:space="preserve">Electrical Installations Book 1 for the Level 3 Apprenticeship (5357), Level 2 Technical Certificate (8202) &amp; Level 2 Diploma (2365).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</w:p>
    <w:p w14:paraId="2F56A6FE" w14:textId="3A107C0D" w:rsidR="00B26426" w:rsidRPr="00B26426" w:rsidRDefault="00B26426" w:rsidP="00B26426">
      <w:pPr>
        <w:pStyle w:val="Normalbulletlist"/>
        <w:numPr>
          <w:ilvl w:val="0"/>
          <w:numId w:val="0"/>
        </w:numPr>
        <w:ind w:left="284"/>
      </w:pPr>
      <w:r>
        <w:t xml:space="preserve">ISBN 978-1-5104-3224-6</w:t>
      </w:r>
    </w:p>
    <w:p w14:paraId="5A7C4C72" w14:textId="77777777" w:rsidR="002B42DD" w:rsidRDefault="002B42DD" w:rsidP="00114C7A">
      <w:pPr>
        <w:pStyle w:val="Normalheadingblack"/>
      </w:pPr>
      <w:bookmarkStart w:id="3" w:name="_Hlk77780839"/>
    </w:p>
    <w:p w14:paraId="7375DFFC" w14:textId="357812F7" w:rsidR="00114C7A" w:rsidRDefault="00114C7A" w:rsidP="00114C7A">
      <w:pPr>
        <w:pStyle w:val="Normalheadingblack"/>
        <w:rPr>
          <w:bCs/>
          <w:szCs w:val="22"/>
        </w:rPr>
      </w:pPr>
      <w:r>
        <w:t xml:space="preserve">Gwefannau</w:t>
      </w:r>
    </w:p>
    <w:bookmarkEnd w:id="1"/>
    <w:p w14:paraId="573B7780" w14:textId="78880BC4" w:rsidR="004A7399" w:rsidRDefault="00B50840" w:rsidP="00D874C7">
      <w:pPr>
        <w:pStyle w:val="Normalbulletlist"/>
        <w:rPr>
          <w:rFonts w:eastAsia="Arial"/>
        </w:rPr>
      </w:pPr>
      <w:r>
        <w:rPr>
          <w:rFonts w:eastAsia="Arial"/>
        </w:rPr>
        <w:fldChar w:fldCharType="begin"/>
      </w:r>
      <w:r w:rsidR="009C5DB8">
        <w:rPr>
          <w:rFonts w:eastAsia="Arial"/>
        </w:rPr>
        <w:instrText>HYPERLINK "https://www.arbedambyth.wales/"</w:instrText>
      </w:r>
      <w:r>
        <w:rPr>
          <w:rFonts w:eastAsia="Arial"/>
        </w:rPr>
        <w:fldChar w:fldCharType="separate"/>
      </w:r>
      <w:r>
        <w:rPr>
          <w:rStyle w:val="Hyperlink"/>
        </w:rPr>
        <w:t xml:space="preserve">Arbed Am Byth | Homepage</w:t>
      </w:r>
      <w:r>
        <w:rPr>
          <w:rFonts w:eastAsia="Arial"/>
        </w:rPr>
        <w:fldChar w:fldCharType="end"/>
      </w:r>
      <w:r>
        <w:t xml:space="preserve">  </w:t>
      </w:r>
    </w:p>
    <w:p w14:paraId="77AE3594" w14:textId="77777777" w:rsidR="001A1A20" w:rsidRDefault="007E34ED" w:rsidP="001A1A20">
      <w:pPr>
        <w:pStyle w:val="Normalbulletlist"/>
        <w:rPr>
          <w:color w:val="202124"/>
        </w:rPr>
      </w:pPr>
      <w:hyperlink r:id="rId12" w:anchor=":~:text=RAMS%20are%20sometimes%20referred%20to,%E2%80%9Cnot%20required%20by%20law%E2%80%9D" w:history="1">
        <w:r>
          <w:rPr>
            <w:rStyle w:val="Hyperlink"/>
          </w:rPr>
          <w:t xml:space="preserve">Banyard Solutions Ltd | Risk Assessment Method Statements</w:t>
        </w:r>
      </w:hyperlink>
    </w:p>
    <w:p w14:paraId="545D157D" w14:textId="77777777" w:rsidR="00CB7E40" w:rsidRPr="00CB7E40" w:rsidRDefault="007E34ED" w:rsidP="00707310">
      <w:pPr>
        <w:pStyle w:val="Normalbulletlist"/>
        <w:rPr>
          <w:rStyle w:val="Hyperlink"/>
          <w:color w:val="auto"/>
          <w:szCs w:val="22"/>
          <w:u w:val="none"/>
          <w:rFonts w:eastAsia="Arial" w:cs="Arial"/>
        </w:rPr>
      </w:pPr>
      <w:hyperlink r:id="rId13" w:history="1">
        <w:r>
          <w:rPr>
            <w:rStyle w:val="Hyperlink"/>
          </w:rPr>
          <w:t xml:space="preserve">BASEC | Homepage</w:t>
        </w:r>
      </w:hyperlink>
    </w:p>
    <w:p w14:paraId="6CCD1B35" w14:textId="24D9D8C0" w:rsidR="00707310" w:rsidRDefault="007E34ED" w:rsidP="00707310">
      <w:pPr>
        <w:pStyle w:val="Normalbulletlist"/>
        <w:rPr>
          <w:szCs w:val="22"/>
          <w:rFonts w:eastAsia="Arial" w:cs="Arial"/>
        </w:rPr>
      </w:pPr>
      <w:hyperlink r:id="rId14" w:history="1">
        <w:r>
          <w:rPr>
            <w:rStyle w:val="Hyperlink"/>
          </w:rPr>
          <w:t xml:space="preserve">BREEAM | Homepage</w:t>
        </w:r>
      </w:hyperlink>
    </w:p>
    <w:p w14:paraId="075E8F91" w14:textId="77777777" w:rsidR="00CB7E40" w:rsidRDefault="007E34ED" w:rsidP="00CB7E40">
      <w:pPr>
        <w:pStyle w:val="Normalbulletlist"/>
        <w:rPr>
          <w:color w:val="202124"/>
        </w:rPr>
      </w:pPr>
      <w:hyperlink r:id="rId15" w:history="1">
        <w:r>
          <w:rPr>
            <w:rStyle w:val="Hyperlink"/>
          </w:rPr>
          <w:t xml:space="preserve">BSI | Kitemark product testing</w:t>
        </w:r>
      </w:hyperlink>
    </w:p>
    <w:p w14:paraId="2D17FF4B" w14:textId="77777777" w:rsidR="00CB7E40" w:rsidRDefault="007E34ED" w:rsidP="00CB7E40">
      <w:pPr>
        <w:pStyle w:val="Normalbulletlist"/>
        <w:rPr>
          <w:color w:val="202124"/>
        </w:rPr>
      </w:pPr>
      <w:hyperlink r:id="rId16" w:history="1">
        <w:r>
          <w:rPr>
            <w:rStyle w:val="Hyperlink"/>
          </w:rPr>
          <w:t xml:space="preserve">Building | Countdown to zero how can the UK meet its 2050 carbon targets</w:t>
        </w:r>
      </w:hyperlink>
    </w:p>
    <w:p w14:paraId="4836641A" w14:textId="77777777" w:rsidR="00CB7E40" w:rsidRDefault="007E34ED" w:rsidP="00CB7E40">
      <w:pPr>
        <w:pStyle w:val="Normalbulletlist"/>
        <w:rPr>
          <w:color w:val="202124"/>
        </w:rPr>
      </w:pPr>
      <w:hyperlink r:id="rId17" w:history="1">
        <w:r>
          <w:rPr>
            <w:rStyle w:val="Hyperlink"/>
          </w:rPr>
          <w:t xml:space="preserve">Construction Blueprint | Key report available to understand the construction industry</w:t>
        </w:r>
      </w:hyperlink>
    </w:p>
    <w:p w14:paraId="263FD5F3" w14:textId="77777777" w:rsidR="00CB7E40" w:rsidRDefault="007E34ED" w:rsidP="00CB7E40">
      <w:pPr>
        <w:pStyle w:val="Normalbulletlist"/>
        <w:rPr>
          <w:color w:val="202124"/>
        </w:rPr>
      </w:pPr>
      <w:hyperlink r:id="rId18" w:history="1">
        <w:r>
          <w:rPr>
            <w:rStyle w:val="Hyperlink"/>
          </w:rPr>
          <w:t xml:space="preserve">FIS | Welsh Roadmap to Safer Building in Wales</w:t>
        </w:r>
      </w:hyperlink>
    </w:p>
    <w:p w14:paraId="46B82317" w14:textId="77777777" w:rsidR="00CB7E40" w:rsidRDefault="007E34ED" w:rsidP="00CB7E40">
      <w:pPr>
        <w:pStyle w:val="Normalbulletlist"/>
        <w:rPr>
          <w:color w:val="202124"/>
        </w:rPr>
      </w:pPr>
      <w:hyperlink r:id="rId19" w:history="1">
        <w:r>
          <w:rPr>
            <w:rStyle w:val="Hyperlink"/>
          </w:rPr>
          <w:t xml:space="preserve">Gantt Excel | Construction Gantt Chart Excel Template</w:t>
        </w:r>
      </w:hyperlink>
    </w:p>
    <w:p w14:paraId="7328CB05" w14:textId="77777777" w:rsidR="001A1A20" w:rsidRDefault="007E34ED" w:rsidP="001A1A20">
      <w:pPr>
        <w:pStyle w:val="Normalbulletlist"/>
        <w:rPr>
          <w:color w:val="202124"/>
        </w:rPr>
      </w:pPr>
      <w:hyperlink r:id="rId20" w:history="1">
        <w:r>
          <w:rPr>
            <w:rStyle w:val="Hyperlink"/>
          </w:rPr>
          <w:t xml:space="preserve">International WELL Building Institute | WELL Building Standard</w:t>
        </w:r>
      </w:hyperlink>
    </w:p>
    <w:p w14:paraId="7E7A50D2" w14:textId="77777777" w:rsidR="00864474" w:rsidRDefault="007E34ED" w:rsidP="00864474">
      <w:pPr>
        <w:pStyle w:val="Normalbulletlist"/>
        <w:rPr>
          <w:szCs w:val="22"/>
          <w:rFonts w:eastAsia="Arial" w:cs="Arial"/>
        </w:rPr>
      </w:pPr>
      <w:hyperlink r:id="rId21" w:history="1">
        <w:r>
          <w:rPr>
            <w:rStyle w:val="Hyperlink"/>
          </w:rPr>
          <w:t xml:space="preserve">Passive House Institute | Passive House Requirements</w:t>
        </w:r>
      </w:hyperlink>
    </w:p>
    <w:p w14:paraId="4B5C48BD" w14:textId="202036C3" w:rsidR="00997559" w:rsidRPr="001A1A20" w:rsidRDefault="007E34ED" w:rsidP="001A1A20">
      <w:pPr>
        <w:pStyle w:val="Normalbulletlist"/>
        <w:rPr>
          <w:color w:val="202124"/>
        </w:rPr>
      </w:pPr>
      <w:hyperlink r:id="rId22" w:history="1">
        <w:r>
          <w:rPr>
            <w:rStyle w:val="Hyperlink"/>
          </w:rPr>
          <w:t xml:space="preserve">Well Certified | Homepage</w:t>
        </w:r>
      </w:hyperlink>
    </w:p>
    <w:p w14:paraId="2D9B2F73" w14:textId="77777777" w:rsidR="002B42DD" w:rsidRDefault="002B42DD" w:rsidP="008718ED">
      <w:pPr>
        <w:pStyle w:val="Normalheadingblack"/>
        <w:rPr>
          <w:rStyle w:val="Hyperlink"/>
          <w:color w:val="202124"/>
          <w:u w:val="none"/>
        </w:rPr>
      </w:pPr>
    </w:p>
    <w:p w14:paraId="60340C45" w14:textId="3ABE3244" w:rsidR="008718ED" w:rsidRDefault="009F3A5B" w:rsidP="008718ED">
      <w:pPr>
        <w:pStyle w:val="Normalheadingblack"/>
        <w:rPr>
          <w:rStyle w:val="Hyperlink"/>
          <w:color w:val="202124"/>
          <w:u w:val="none"/>
        </w:rPr>
      </w:pPr>
      <w:r>
        <w:rPr>
          <w:rStyle w:val="Hyperlink"/>
          <w:color w:val="202124"/>
          <w:u w:val="none"/>
        </w:rPr>
        <w:t xml:space="preserve">Deddfwriaeth</w:t>
      </w:r>
      <w:r>
        <w:rPr>
          <w:rStyle w:val="Hyperlink"/>
          <w:color w:val="202124"/>
          <w:u w:val="none"/>
        </w:rPr>
        <w:t xml:space="preserve"> </w:t>
      </w:r>
    </w:p>
    <w:p w14:paraId="4D429991" w14:textId="77777777" w:rsidR="008718ED" w:rsidRDefault="007E34ED" w:rsidP="008718ED">
      <w:pPr>
        <w:pStyle w:val="Normalbulletlist"/>
        <w:rPr>
          <w:color w:val="202124"/>
        </w:rPr>
      </w:pPr>
      <w:hyperlink r:id="rId23" w:history="1">
        <w:r>
          <w:rPr>
            <w:rStyle w:val="Hyperlink"/>
          </w:rPr>
          <w:t xml:space="preserve">GOV.UK | CE Marking</w:t>
        </w:r>
      </w:hyperlink>
    </w:p>
    <w:p w14:paraId="67B4F8C4" w14:textId="4782403B" w:rsidR="008718ED" w:rsidRPr="008718ED" w:rsidRDefault="007E34ED" w:rsidP="008718ED">
      <w:pPr>
        <w:pStyle w:val="Normalbulletlist"/>
        <w:rPr>
          <w:color w:val="202124"/>
        </w:rPr>
      </w:pPr>
      <w:hyperlink r:id="rId24" w:history="1">
        <w:r>
          <w:rPr>
            <w:rStyle w:val="Hyperlink"/>
          </w:rPr>
          <w:t xml:space="preserve">GOV.UK | The Building Regulations 2010 Approved Document 7:</w:t>
        </w:r>
      </w:hyperlink>
      <w:hyperlink r:id="rId24" w:history="1">
        <w:r>
          <w:rPr>
            <w:rStyle w:val="Hyperlink"/>
          </w:rPr>
          <w:t xml:space="preserve"> Materials and Workmanship</w:t>
        </w:r>
      </w:hyperlink>
    </w:p>
    <w:p w14:paraId="366CF701" w14:textId="703DAF71" w:rsidR="008718ED" w:rsidRPr="00BF2676" w:rsidRDefault="007E34ED" w:rsidP="008718ED">
      <w:pPr>
        <w:pStyle w:val="Normalbulletlist"/>
        <w:rPr>
          <w:rStyle w:val="Hyperlink"/>
          <w:color w:val="202124"/>
          <w:u w:val="none"/>
        </w:rPr>
      </w:pPr>
      <w:hyperlink r:id="rId25" w:history="1">
        <w:r>
          <w:rPr>
            <w:rStyle w:val="Hyperlink"/>
          </w:rPr>
          <w:t xml:space="preserve">HSE | The Construction (Design and Management) Regulations 2015</w:t>
        </w:r>
      </w:hyperlink>
    </w:p>
    <w:p w14:paraId="6AE6E1AF" w14:textId="57B5F320" w:rsidR="008718ED" w:rsidRPr="00BF2676" w:rsidRDefault="007E34ED" w:rsidP="00BF2676">
      <w:pPr>
        <w:pStyle w:val="Normalbulletlist"/>
        <w:rPr>
          <w:color w:val="202124"/>
        </w:rPr>
      </w:pPr>
      <w:hyperlink r:id="rId26" w:history="1">
        <w:r>
          <w:rPr>
            <w:rStyle w:val="Hyperlink"/>
          </w:rPr>
          <w:t xml:space="preserve">HSE | ROSPA:</w:t>
        </w:r>
      </w:hyperlink>
      <w:hyperlink r:id="rId26" w:history="1">
        <w:r>
          <w:rPr>
            <w:rStyle w:val="Hyperlink"/>
          </w:rPr>
          <w:t xml:space="preserve"> Health and Safety Legal Updates 2015 </w:t>
        </w:r>
      </w:hyperlink>
    </w:p>
    <w:p w14:paraId="3020DD86" w14:textId="24B867D3" w:rsidR="009F3A5B" w:rsidRPr="009F3A5B" w:rsidRDefault="009F3A5B" w:rsidP="009F3A5B">
      <w:pPr>
        <w:pStyle w:val="Normalbulletlist"/>
        <w:numPr>
          <w:ilvl w:val="0"/>
          <w:numId w:val="0"/>
        </w:numPr>
        <w:rPr>
          <w:color w:val="202124"/>
        </w:rPr>
      </w:pPr>
    </w:p>
    <w:p w14:paraId="42042D07" w14:textId="77777777" w:rsidR="004A7399" w:rsidRDefault="004A7399" w:rsidP="00D874C7">
      <w:pPr>
        <w:pStyle w:val="Normalbulletsublist"/>
        <w:numPr>
          <w:ilvl w:val="0"/>
          <w:numId w:val="0"/>
        </w:numPr>
        <w:ind w:left="568" w:hanging="284"/>
        <w:rPr>
          <w:rFonts w:eastAsia="Arial" w:cs="Arial"/>
          <w:szCs w:val="22"/>
        </w:rPr>
      </w:pPr>
    </w:p>
    <w:bookmarkEnd w:id="2"/>
    <w:bookmarkEnd w:id="3"/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7BCC24C8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099ED46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7BCC24C8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10B36A47" w:rsidR="000355F3" w:rsidRPr="00CD50CC" w:rsidRDefault="00636A01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yr amgylchedd adeiledig yng Nghymru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5E416C36" w:rsidR="000355F3" w:rsidRPr="00CD50CC" w:rsidRDefault="00636A0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stoc adeiladau yng Nghymru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225C090" w14:textId="02D0E3B2" w:rsidR="00F953E9" w:rsidRDefault="00077C1B" w:rsidP="00F953E9">
            <w:pPr>
              <w:pStyle w:val="Normalbulletlist"/>
            </w:pPr>
            <w:r>
              <w:t xml:space="preserve">Bydd dysgwyr yn gwneud gwaith ymchwil i allu nodi prosiectau ôl-osod, adnewyddu a datblygu sy’n sicrhau bod yr adeiladau’n cyrraedd y safonau rheoleiddio presennol, gan gynnwys ARBED, cynllun cartrefi cynnes Llywodraeth Cymru.</w:t>
            </w:r>
          </w:p>
          <w:p w14:paraId="4477125F" w14:textId="176E8C41" w:rsidR="00F953E9" w:rsidRDefault="00F953E9" w:rsidP="00F953E9">
            <w:pPr>
              <w:pStyle w:val="Normalbulletlist"/>
            </w:pPr>
            <w:r>
              <w:t xml:space="preserve">Dylai dysgwyr fod yn gyfarwydd ag eiddo sydd wedi’u cysylltu ac eiddo ar wahân, gan nodi’r gwahaniaethau mewn inswleiddio a nodweddion amgylcheddol cyn 1919, ac ar ôl 1919.</w:t>
            </w:r>
          </w:p>
          <w:p w14:paraId="4D2E4396" w14:textId="5DC1EF90" w:rsidR="000A7F07" w:rsidRDefault="00F953E9" w:rsidP="00F953E9">
            <w:pPr>
              <w:pStyle w:val="Normalbulletlist"/>
            </w:pPr>
            <w:r>
              <w:t xml:space="preserve">Bydd dysgwyr yn deall yr angen am dai sy’n defnyddio ynni’n effeithlon, gan gynnwys:</w:t>
            </w:r>
          </w:p>
          <w:p w14:paraId="70289AE7" w14:textId="070761C6" w:rsidR="000A7F07" w:rsidRDefault="00077C1B" w:rsidP="000A7F07">
            <w:pPr>
              <w:pStyle w:val="Normalbulletsublist"/>
            </w:pPr>
            <w:r>
              <w:t xml:space="preserve">ôl-ffitio</w:t>
            </w:r>
          </w:p>
          <w:p w14:paraId="1111B831" w14:textId="77777777" w:rsidR="000A7F07" w:rsidRDefault="00F953E9" w:rsidP="000A7F07">
            <w:pPr>
              <w:pStyle w:val="Normalbulletsublist"/>
            </w:pPr>
            <w:r>
              <w:t xml:space="preserve">deunyddiau naturiol</w:t>
            </w:r>
          </w:p>
          <w:p w14:paraId="5E0B3BF0" w14:textId="77777777" w:rsidR="00A62F43" w:rsidRDefault="00DF72AB" w:rsidP="00077C1B">
            <w:pPr>
              <w:pStyle w:val="Normalbulletsublist"/>
            </w:pPr>
            <w:r>
              <w:t xml:space="preserve">Dull Asesu’r Sefydliad Ymchwil Adeiladu (BREEAM)</w:t>
            </w:r>
            <w:r>
              <w:t xml:space="preserve"> </w:t>
            </w:r>
          </w:p>
          <w:p w14:paraId="5E869EE8" w14:textId="70073D7A" w:rsidR="000A7F07" w:rsidRDefault="00F953E9" w:rsidP="00A62F43">
            <w:pPr>
              <w:pStyle w:val="Normalbulletsublist"/>
            </w:pPr>
            <w:r>
              <w:t xml:space="preserve">Passivhaus</w:t>
            </w:r>
          </w:p>
          <w:p w14:paraId="139FEFFB" w14:textId="037EB6CA" w:rsidR="00F953E9" w:rsidRDefault="00F953E9" w:rsidP="000A7F07">
            <w:pPr>
              <w:pStyle w:val="Normalbulletsublist"/>
            </w:pPr>
            <w:r>
              <w:t xml:space="preserve">cydymffurfio â’r Rheoliadau Adeiladu.</w:t>
            </w:r>
          </w:p>
          <w:p w14:paraId="62D04BED" w14:textId="413E9955" w:rsidR="000A7F07" w:rsidRDefault="004A7399" w:rsidP="004A7399">
            <w:pPr>
              <w:pStyle w:val="Normalbulletlist"/>
            </w:pPr>
            <w:r>
              <w:t xml:space="preserve">Bydd dysgwyr yn cydweithio i greu prosiect sy’n cydnabod pwysigrwydd effeithlonrwydd ynni ac ynni corfforedig o ran cyrraedd y targed di-garbon sy’n ofynnol mewn prosiectau adeiladu bellach.</w:t>
            </w:r>
            <w:r>
              <w:t xml:space="preserve"> </w:t>
            </w:r>
          </w:p>
          <w:p w14:paraId="23E83A1A" w14:textId="77777777" w:rsidR="004A7399" w:rsidRDefault="004A7399" w:rsidP="004A7399">
            <w:pPr>
              <w:pStyle w:val="Normalbulletlist"/>
            </w:pPr>
            <w:r>
              <w:t xml:space="preserve">Bydd dysgwyr yn ymchwilio i argaeledd deunyddiau ar gyfer ansawdd a pherfformiad, yn enwedig wrth ddatblygu a gweithgynhyrchu deunyddiau newydd, a’u defnydd mewn adeiladu modern.</w:t>
            </w:r>
          </w:p>
          <w:p w14:paraId="52A1A5D3" w14:textId="069D597B" w:rsidR="000355F3" w:rsidRPr="00CD50CC" w:rsidRDefault="004A7399" w:rsidP="00C85C02">
            <w:pPr>
              <w:pStyle w:val="Normalbulletlist"/>
            </w:pPr>
            <w:r>
              <w:t xml:space="preserve">Bydd dysgwyr yn dangos pam mae Pilenni Atal Lleithder (DPM) a Chwrs Atal Lleithder (DPC) wedi’u cynnwys mewn gwaith adeiladu ar ôl 1919, a pham nad ydynt yn addas ar gyfer strwythurau waliau soled.</w:t>
            </w:r>
            <w:r>
              <w:t xml:space="preserve"> </w:t>
            </w:r>
          </w:p>
        </w:tc>
      </w:tr>
      <w:tr w:rsidR="000355F3" w:rsidRPr="00D979B1" w14:paraId="2DF4DFA8" w14:textId="77777777" w:rsidTr="7BCC24C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E92CBF2" w:rsidR="000355F3" w:rsidRPr="00CD50CC" w:rsidRDefault="00636A0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Ffactorau sy’n dylanwadu ar newid yn yr amgylchedd adeiledig yng Nghymru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64E7BD" w14:textId="311628D7" w:rsidR="000355F3" w:rsidRDefault="004A7399" w:rsidP="00C85C02">
            <w:pPr>
              <w:pStyle w:val="Normalbulletlist"/>
            </w:pPr>
            <w:r>
              <w:t xml:space="preserve">Bydd dysgwyr yn trafod ac yn ymchwilio i yrwyr gwleidyddol, amgylcheddol, cymdeithasol, technolegol, cyfreithiol ac economaidd (PESTLE) sy’n ymwneud ag adeiladu dros y 100 mlynedd diwethaf i ganfod y prif resymau dros gynnydd a gostyngiad yn y galw am dai, a’r ffordd y mae hyn wedi achosi amrywiadau mewn adeiladu tai.</w:t>
            </w:r>
            <w:r>
              <w:t xml:space="preserve">   </w:t>
            </w:r>
          </w:p>
          <w:p w14:paraId="1BF1AB27" w14:textId="57A25348" w:rsidR="002550F0" w:rsidRDefault="002550F0" w:rsidP="002550F0">
            <w:pPr>
              <w:pStyle w:val="Normalbulletlist"/>
            </w:pPr>
            <w:r>
              <w:t xml:space="preserve">Bydd dysgwyr yn deall pwysigrwydd effeithlonrwydd ynni ac ynni corfforedig o ran cyrraedd y targed di-garbon.</w:t>
            </w:r>
          </w:p>
          <w:p w14:paraId="05948667" w14:textId="68E46F72" w:rsidR="002550F0" w:rsidRPr="00CD50CC" w:rsidRDefault="002550F0" w:rsidP="002550F0">
            <w:pPr>
              <w:pStyle w:val="Normalbulletlist"/>
            </w:pPr>
            <w:r>
              <w:t xml:space="preserve">Bydd dysgwyr yn deall gwerth cynnal a chadw ac atgyweirio’r stoc dai bresennol o ran cynaliadwyedd ac arbed carbon o’i gymharu â chodi adeiladau newydd yn lle adeiladau presennol yr ugeinfed ganrif.</w:t>
            </w:r>
          </w:p>
        </w:tc>
      </w:tr>
      <w:tr w:rsidR="000355F3" w:rsidRPr="00D979B1" w14:paraId="24BC335D" w14:textId="77777777" w:rsidTr="7BCC24C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5581E3DD" w:rsidR="000355F3" w:rsidRPr="00CD50CC" w:rsidRDefault="00636A0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Diogelwch yr amgylchedd adeiledig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650D6C" w14:textId="19607806" w:rsidR="00077C1B" w:rsidRDefault="004A7399" w:rsidP="000A7F07">
            <w:pPr>
              <w:pStyle w:val="Normalbulletlist"/>
            </w:pPr>
            <w:r>
              <w:t xml:space="preserve">Bydd dysgwyr yn trafod goblygiadau peidio ag ystyried diogelwch i ddefnyddwyr, gan drafod enghreifftiau fel asbestos a thrychineb Tŵr Grenfell.</w:t>
            </w:r>
            <w:r>
              <w:t xml:space="preserve"> </w:t>
            </w:r>
          </w:p>
          <w:p w14:paraId="3A1B42BB" w14:textId="5D7E6A1F" w:rsidR="004A7399" w:rsidRPr="000A7F07" w:rsidRDefault="004A7399" w:rsidP="000A7F07">
            <w:pPr>
              <w:pStyle w:val="Normalbulletlist"/>
            </w:pPr>
            <w:r>
              <w:t xml:space="preserve">Bydd dysgwyr yn ymwybodol o gynllun Llywodraeth Cymru i ddiwygio rheoliadau a diogelwch tân mewn adeiladau uchel iawn, a’r camau gweithredu o ran y ‘Map Tuag at Adeiladau Mwy Diogel yng Nghymru’.</w:t>
            </w:r>
          </w:p>
          <w:p w14:paraId="07B9ED0B" w14:textId="010F0170" w:rsidR="004A7399" w:rsidRPr="000A7F07" w:rsidRDefault="004A7399" w:rsidP="000A7F07">
            <w:pPr>
              <w:pStyle w:val="Normalbulletlist"/>
            </w:pPr>
            <w:r>
              <w:t xml:space="preserve">Bydd dysgwyr yn ymchwilio i Reoliadau Adeiladu (Dylunio a Rheoli) (CDM) 2015 ac yn trafod eu rôl.</w:t>
            </w:r>
          </w:p>
          <w:p w14:paraId="6662F7CC" w14:textId="371B9BDE" w:rsidR="00726A0F" w:rsidRPr="000A7F07" w:rsidRDefault="004A7399" w:rsidP="000A7F07">
            <w:pPr>
              <w:pStyle w:val="Normalbulletlist"/>
            </w:pPr>
            <w:r>
              <w:t xml:space="preserve">Bydd dysgwyr yn deall y nod sicrhau ansawdd Conformitè Europëenne (CE) a nod barcud y Sefydliad Safonau Prydeinig (BSI).</w:t>
            </w:r>
          </w:p>
          <w:p w14:paraId="486873C7" w14:textId="7A30605F" w:rsidR="00726A0F" w:rsidRPr="000A7F07" w:rsidRDefault="00726A0F" w:rsidP="000A7F07">
            <w:pPr>
              <w:pStyle w:val="Normalbulletlist"/>
            </w:pPr>
            <w:r>
              <w:t xml:space="preserve">Bydd dysgwyr yn ymchwilio i’r datblygiadau ym maes dylunio pensaernïol a gwyddoniaeth deunyddiau, a’u dylanwad ar adeiladu modern, ac yn trafod hyn.</w:t>
            </w:r>
          </w:p>
          <w:p w14:paraId="5701F24C" w14:textId="2CEE123A" w:rsidR="00726A0F" w:rsidRPr="000A7F07" w:rsidRDefault="00726A0F" w:rsidP="000A7F07">
            <w:pPr>
              <w:pStyle w:val="Normalbulletlist"/>
            </w:pPr>
            <w:r>
              <w:t xml:space="preserve">Bydd dysgwyr yn ymchwilio i ddiogelwch hirdymor defnyddwyr wrth addasu, creu, a chynnal a chadw adeiladau.</w:t>
            </w:r>
          </w:p>
          <w:p w14:paraId="7CD07269" w14:textId="3CF92EE4" w:rsidR="000355F3" w:rsidRPr="000A7F07" w:rsidRDefault="00A56DF4" w:rsidP="000A7F07">
            <w:pPr>
              <w:pStyle w:val="Normalbulletlist"/>
            </w:pPr>
            <w:r>
              <w:t xml:space="preserve">Bydd dysgwyr yn gwybod y wybodaeth angenrheidiol y gellir ei rhag-weld i’w darparu ar gyfer gwaith cynnal a chadw, atgyweirio a glanhau’r adeilad yn y dyfodol.</w:t>
            </w:r>
          </w:p>
          <w:p w14:paraId="7A22E357" w14:textId="084AD534" w:rsidR="00997559" w:rsidRPr="000A7F07" w:rsidRDefault="00997559" w:rsidP="000A7F07">
            <w:pPr>
              <w:pStyle w:val="Normalbulletlist"/>
            </w:pPr>
            <w:r>
              <w:t xml:space="preserve">Bydd dysgwyr yn ymwybodol o’r Safon Adeiladu WELL ac yn ymchwilio iddi.</w:t>
            </w:r>
          </w:p>
          <w:p w14:paraId="3B797F25" w14:textId="3E88B366" w:rsidR="00261000" w:rsidRDefault="00997559" w:rsidP="000A7F07">
            <w:pPr>
              <w:pStyle w:val="Normalbulletlist"/>
            </w:pPr>
            <w:r>
              <w:t xml:space="preserve">Bydd dysgwyr yn ymchwilio i’r Rheoliadau Cynhyrchion Adeiladu ac yn deall eu cymhwysedd, gan gynnwys:</w:t>
            </w:r>
            <w:r>
              <w:t xml:space="preserve"> </w:t>
            </w:r>
          </w:p>
          <w:p w14:paraId="580A408E" w14:textId="0780FF8B" w:rsidR="009C06E9" w:rsidRDefault="00997559" w:rsidP="00542A01">
            <w:pPr>
              <w:pStyle w:val="Normalbulletsublist"/>
            </w:pPr>
            <w:r>
              <w:t xml:space="preserve">Dogfen Gymeradwy 7 y Rheoliadau Adeiladu:</w:t>
            </w:r>
            <w:r>
              <w:t xml:space="preserve"> </w:t>
            </w:r>
            <w:r>
              <w:t xml:space="preserve">Deunyddiau a Chrefftwaith</w:t>
            </w:r>
            <w:r>
              <w:t xml:space="preserve"> </w:t>
            </w:r>
          </w:p>
          <w:p w14:paraId="5B73EC30" w14:textId="7AD823B3" w:rsidR="009C06E9" w:rsidRDefault="00997559" w:rsidP="00542A01">
            <w:pPr>
              <w:pStyle w:val="Normalbulletsublist"/>
            </w:pPr>
            <w:r>
              <w:t xml:space="preserve">y Datganiad Cydymffurfio a</w:t>
            </w:r>
            <w:r>
              <w:t xml:space="preserve"> </w:t>
            </w:r>
          </w:p>
          <w:p w14:paraId="6352D42D" w14:textId="091923EF" w:rsidR="009C06E9" w:rsidRDefault="00997559" w:rsidP="00542A01">
            <w:pPr>
              <w:pStyle w:val="Normalbulletsublist"/>
            </w:pPr>
            <w:r>
              <w:t xml:space="preserve">gofynion penodol i grefft ar gyfer cynhyrchion fel ceblau sydd wedi’u cymeradwyo gan y British Approvals Service for Cables (BASEC).</w:t>
            </w:r>
            <w:r>
              <w:t xml:space="preserve"> </w:t>
            </w:r>
          </w:p>
          <w:p w14:paraId="43185295" w14:textId="3DAF2714" w:rsidR="00997559" w:rsidRPr="000A7F07" w:rsidRDefault="00997559" w:rsidP="000A7F07">
            <w:pPr>
              <w:pStyle w:val="Normalbulletlist"/>
            </w:pPr>
            <w:r>
              <w:t xml:space="preserve">Bydd dysgwyr yn ymwybodol o ganllawiau perthnasol eraill fel fframwaith Safer by Design y Gymdeithas Frenhinol er Atal Damweiniau (RoSPA).</w:t>
            </w:r>
          </w:p>
          <w:p w14:paraId="75C9D1E4" w14:textId="77777777" w:rsidR="005A7AD1" w:rsidRDefault="003973F0" w:rsidP="000A7F07">
            <w:pPr>
              <w:pStyle w:val="Normalbulletlist"/>
            </w:pPr>
            <w:r>
              <w:t xml:space="preserve">Bydd dysgwyr yn ymchwilio i’r angen am gydsyniad/caniatâd perthnasol i wneud gwaith (a allai fod yn ofynnol ar gyfer mân waith ar adeilad rhestredig yng Nghymru), gan gydymffurfio â Rheoliadau Adeiladu (gan ddilyn Dogfennau Cymeradwy) a defnyddio deunyddiau priodol, ac yn trafod hyn.</w:t>
            </w:r>
          </w:p>
          <w:p w14:paraId="21CF31F4" w14:textId="59D58FE0" w:rsidR="003973F0" w:rsidRPr="000A7F07" w:rsidRDefault="005A7AD1" w:rsidP="000A7F07">
            <w:pPr>
              <w:pStyle w:val="Normalbulletlist"/>
            </w:pPr>
            <w:r>
              <w:t xml:space="preserve">Bydd dysgwyr yn deall pryd i atgyfeirio penderfyniadau at gyd-weithwyr mwy profiadol a chymwys.</w:t>
            </w:r>
            <w:r>
              <w:t xml:space="preserve"> </w:t>
            </w:r>
          </w:p>
        </w:tc>
      </w:tr>
      <w:tr w:rsidR="00636A01" w:rsidRPr="00D979B1" w14:paraId="6800D22A" w14:textId="77777777" w:rsidTr="7BCC24C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1E944F98" w:rsidR="00636A01" w:rsidRPr="00CD50CC" w:rsidRDefault="00636A01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gweithio’n effeithiol gyda phobl eraill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BB2387B" w:rsidR="00636A01" w:rsidRPr="00CD50CC" w:rsidRDefault="00636A0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datblygu a chynnal perthynas waith gynhyrchiol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B4E108" w14:textId="69DF6FB6" w:rsidR="0023430B" w:rsidRDefault="0023430B" w:rsidP="0023430B">
            <w:pPr>
              <w:pStyle w:val="Normalbulletlist"/>
            </w:pPr>
            <w:r>
              <w:t xml:space="preserve">Bydd dysgwyr yn cymryd rhan mewn sefyllfaoedd chwarae rôl ar wahanol dechnegau cyfathrebu – rhai ffurfiol ac anffurfiol – i hybu perthynas waith effeithiol â’r holl randdeiliaid.</w:t>
            </w:r>
          </w:p>
          <w:p w14:paraId="1835DA2F" w14:textId="6AA54D4F" w:rsidR="00FB1E4D" w:rsidRDefault="00FB1E4D" w:rsidP="0023430B">
            <w:pPr>
              <w:pStyle w:val="Normalbulletlist"/>
            </w:pPr>
            <w:r>
              <w:t xml:space="preserve">Bydd dysgwyr yn gyfarwydd ag amrywiaeth o ddulliau cyfathrebu ac yn gallu eu defnyddio’n hyblyg, gan gynnwys:</w:t>
            </w:r>
          </w:p>
          <w:p w14:paraId="6A368971" w14:textId="286C2E88" w:rsidR="00EB1070" w:rsidRDefault="00EB1070" w:rsidP="00542A01">
            <w:pPr>
              <w:pStyle w:val="Normalbulletsublist"/>
            </w:pPr>
            <w:r>
              <w:t xml:space="preserve">cyfathrebu ar lafar</w:t>
            </w:r>
          </w:p>
          <w:p w14:paraId="4943A318" w14:textId="4EF3D089" w:rsidR="00EB1070" w:rsidRDefault="00EB1070" w:rsidP="00542A01">
            <w:pPr>
              <w:pStyle w:val="Normalbulletsublist"/>
            </w:pPr>
            <w:r>
              <w:t xml:space="preserve">cyfathrebu ysgrifenedig</w:t>
            </w:r>
          </w:p>
          <w:p w14:paraId="42D4B0E7" w14:textId="1AD94621" w:rsidR="00EB1070" w:rsidRDefault="00EB1070" w:rsidP="00542A01">
            <w:pPr>
              <w:pStyle w:val="Normalbulletsublist"/>
            </w:pPr>
            <w:r>
              <w:t xml:space="preserve">e-byst</w:t>
            </w:r>
          </w:p>
          <w:p w14:paraId="749357F2" w14:textId="468ACB0F" w:rsidR="00EB1070" w:rsidRDefault="00EB1070" w:rsidP="00542A01">
            <w:pPr>
              <w:pStyle w:val="Normalbulletsublist"/>
            </w:pPr>
            <w:r>
              <w:t xml:space="preserve">llythyrau</w:t>
            </w:r>
          </w:p>
          <w:p w14:paraId="53A1CA6F" w14:textId="6964BEDE" w:rsidR="00EB1070" w:rsidRDefault="00EB1070" w:rsidP="00542A01">
            <w:pPr>
              <w:pStyle w:val="Normalbulletsublist"/>
            </w:pPr>
            <w:r>
              <w:t xml:space="preserve">negeseuon testun</w:t>
            </w:r>
          </w:p>
          <w:p w14:paraId="00DFF758" w14:textId="60ABBF7D" w:rsidR="00EB1070" w:rsidRDefault="00EB1070" w:rsidP="00542A01">
            <w:pPr>
              <w:pStyle w:val="Normalbulletsublist"/>
            </w:pPr>
            <w:r>
              <w:t xml:space="preserve">cyfryngau cymdeithasol.</w:t>
            </w:r>
          </w:p>
          <w:p w14:paraId="291A099C" w14:textId="4358A200" w:rsidR="00EB1070" w:rsidRDefault="00EB1070" w:rsidP="00EB1070">
            <w:pPr>
              <w:pStyle w:val="Normalbulletlist"/>
            </w:pPr>
            <w:r>
              <w:t xml:space="preserve">Bydd dysgwyr yn deall dulliau cyfathrebu effeithiol ar gyfer anghenion unigol, fel anableddau, acenion, tafodieithoedd, a gwahaniaethau iaith.</w:t>
            </w:r>
          </w:p>
          <w:p w14:paraId="4BDCCE2B" w14:textId="6F5153CF" w:rsidR="0023430B" w:rsidRDefault="0023430B" w:rsidP="0023430B">
            <w:pPr>
              <w:pStyle w:val="Normalbulletlist"/>
            </w:pPr>
            <w:r>
              <w:t xml:space="preserve">Bydd dysgwyr yn ymchwilio i fodel datblygu tîm Tuckman (ffurfio (forming), herio (storming), normaleiddio (norming) a pherfformio (performing)).</w:t>
            </w:r>
            <w:r>
              <w:t xml:space="preserve">  </w:t>
            </w:r>
          </w:p>
          <w:p w14:paraId="1E09212A" w14:textId="64DAE3DC" w:rsidR="00F4037F" w:rsidRPr="002B42DD" w:rsidRDefault="00F4037F" w:rsidP="0023430B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theori Tuckman ar gyfer datblygu grŵp cadarnhaol i fynd i’r afael â phroblemau a dod o hyd i atebion, i gynllunio gwaith ac i gyflawni canlyniadau a fydd yn effeithio ar sut mae datblygu a chynnal perthynas waith gynhyrchiol.</w:t>
            </w:r>
            <w:r>
              <w:rPr>
                <w:color w:val="000000" w:themeColor="text1"/>
              </w:rPr>
              <w:t xml:space="preserve"> </w:t>
            </w:r>
          </w:p>
          <w:p w14:paraId="51B0001A" w14:textId="381870AF" w:rsidR="00636A01" w:rsidRPr="00CD50CC" w:rsidRDefault="0023430B" w:rsidP="00C85C02">
            <w:pPr>
              <w:pStyle w:val="Normalbulletlist"/>
            </w:pPr>
            <w:r>
              <w:t xml:space="preserve">Bydd dysgwyr yn deall sut mae datrys gwahaniaethau barn mewn ffyrdd sy’n lleihau tramgwydd ac yn cynnal ewyllys da, ymddiriedaeth a pharch eraill, a pham mae hyn yn bwysig.</w:t>
            </w:r>
          </w:p>
        </w:tc>
      </w:tr>
      <w:tr w:rsidR="00636A01" w:rsidRPr="00D979B1" w14:paraId="29D72156" w14:textId="77777777" w:rsidTr="7BCC24C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0EE8E505" w:rsidR="00636A01" w:rsidRPr="00CD50CC" w:rsidRDefault="00636A01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4776F9EF" w:rsidR="00636A01" w:rsidRPr="00CD50CC" w:rsidRDefault="00636A0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cyfathrebu’n effeithiol â chleientiaid, cyflogwyr a chyd-weithwyr, ac â rhanddeiliaid eraill drwy gydol prosiectau amgylchedd adeiledig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F8D638" w14:textId="58F7435C" w:rsidR="0023430B" w:rsidRDefault="0023430B" w:rsidP="00C85C02">
            <w:pPr>
              <w:pStyle w:val="Normalbulletlist"/>
            </w:pPr>
            <w:r>
              <w:t xml:space="preserve">Bydd dysgwyr yn gwybod sut mae cadarnhau a chyfleu’r dull gweithio i’r bobl berthnasol e.e. cyd-weithwyr, cyflogwyr, cwsmeriaid, contractwyr, cyflenwyr cynnyrch a gwasanaethau, a’r rhai y mae’r gwaith/prosiect yn effeithio arnynt, a hynny gyda’r lefel briodol o fanylder a lefel briodol o frys.</w:t>
            </w:r>
            <w:r>
              <w:t xml:space="preserve"> </w:t>
            </w:r>
          </w:p>
          <w:p w14:paraId="5E7C6290" w14:textId="77777777" w:rsidR="00636A01" w:rsidRDefault="0023430B" w:rsidP="00C85C02">
            <w:pPr>
              <w:pStyle w:val="Normalbulletlist"/>
            </w:pPr>
            <w:r>
              <w:t xml:space="preserve">Bydd dysgwyr yn cynhyrchu gwaith papur perthnasol i ddangos cynnydd, cyflawniadau, canlyniadau, problemau parhaus, gofynion iechyd a diogelwch a chyd-drefniant gwaith gan ddefnyddio dogfennau fel Siartiau Gantt a Datganiadau Dull Asesu Risg (RAMS).</w:t>
            </w:r>
          </w:p>
          <w:p w14:paraId="5AC099BF" w14:textId="1CA7AE23" w:rsidR="00D03E77" w:rsidRPr="00CD50CC" w:rsidRDefault="00D03E77" w:rsidP="00C85C02">
            <w:pPr>
              <w:pStyle w:val="Normalbulletlist"/>
            </w:pPr>
            <w:r>
              <w:t xml:space="preserve">Bydd dysgwyr yn deall effaith bosib y gwaith (e.e. sŵn a cherbydau) ar y rhai sydd yng nghyffiniau’r gwaith (fel cymdogion preswyl) ac yn sylweddoli bod eu gofal i gwsmeriaid yn ymestyn i’r cwsmeriaid posib hyn yn y dyfodol.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74EDD" w14:textId="77777777" w:rsidR="007E34ED" w:rsidRDefault="007E34ED">
      <w:pPr>
        <w:spacing w:before="0" w:after="0"/>
      </w:pPr>
      <w:r>
        <w:separator/>
      </w:r>
    </w:p>
  </w:endnote>
  <w:endnote w:type="continuationSeparator" w:id="0">
    <w:p w14:paraId="0EC26CA2" w14:textId="77777777" w:rsidR="007E34ED" w:rsidRDefault="007E34ED">
      <w:pPr>
        <w:spacing w:before="0" w:after="0"/>
      </w:pPr>
      <w:r>
        <w:continuationSeparator/>
      </w:r>
    </w:p>
  </w:endnote>
  <w:endnote w:type="continuationNotice" w:id="1">
    <w:p w14:paraId="28466EDB" w14:textId="77777777" w:rsidR="007E34ED" w:rsidRDefault="007E34E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973E21E" w:rsidR="008C49CA" w:rsidRPr="00041DCF" w:rsidRDefault="0040327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EAL.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7E34ED">
      <w:fldChar w:fldCharType="begin" w:dirty="true"/>
    </w:r>
    <w:r w:rsidR="007E34ED">
      <w:instrText xml:space="preserve"> NUMPAGES   \* MERGEFORMAT </w:instrText>
    </w:r>
    <w:r w:rsidR="007E34ED">
      <w:fldChar w:fldCharType="separate"/>
    </w:r>
    <w:r w:rsidR="00041DCF">
      <w:t>3</w:t>
    </w:r>
    <w:r w:rsidR="007E34E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10B97" w14:textId="77777777" w:rsidR="007E34ED" w:rsidRDefault="007E34ED">
      <w:pPr>
        <w:spacing w:before="0" w:after="0"/>
      </w:pPr>
      <w:r>
        <w:separator/>
      </w:r>
    </w:p>
  </w:footnote>
  <w:footnote w:type="continuationSeparator" w:id="0">
    <w:p w14:paraId="23673306" w14:textId="77777777" w:rsidR="007E34ED" w:rsidRDefault="007E34ED">
      <w:pPr>
        <w:spacing w:before="0" w:after="0"/>
      </w:pPr>
      <w:r>
        <w:continuationSeparator/>
      </w:r>
    </w:p>
  </w:footnote>
  <w:footnote w:type="continuationNotice" w:id="1">
    <w:p w14:paraId="7F3DEA65" w14:textId="77777777" w:rsidR="007E34ED" w:rsidRDefault="007E34E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AE9F96F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 xml:space="preserve">Peirianneg Gwasanaethau Adeiladu (Lefel 3)</w:t>
    </w:r>
  </w:p>
  <w:p w14:paraId="1A87A6D0" w14:textId="4B87ADE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5B709D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302: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C14E2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ABA38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7E861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202C9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A8E1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48CD2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9674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A984D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49DE"/>
    <w:rsid w:val="00014527"/>
    <w:rsid w:val="000355F3"/>
    <w:rsid w:val="00041DCF"/>
    <w:rsid w:val="000462D0"/>
    <w:rsid w:val="00047F68"/>
    <w:rsid w:val="000528C0"/>
    <w:rsid w:val="00052D44"/>
    <w:rsid w:val="000625C1"/>
    <w:rsid w:val="00077B8F"/>
    <w:rsid w:val="00077C1B"/>
    <w:rsid w:val="0008248A"/>
    <w:rsid w:val="0008737F"/>
    <w:rsid w:val="000A7B23"/>
    <w:rsid w:val="000A7F07"/>
    <w:rsid w:val="000B475D"/>
    <w:rsid w:val="000D44B2"/>
    <w:rsid w:val="000E2027"/>
    <w:rsid w:val="000E2963"/>
    <w:rsid w:val="000E3286"/>
    <w:rsid w:val="000E7C90"/>
    <w:rsid w:val="000F040D"/>
    <w:rsid w:val="000F1280"/>
    <w:rsid w:val="000F364F"/>
    <w:rsid w:val="00100DE4"/>
    <w:rsid w:val="00102645"/>
    <w:rsid w:val="00106031"/>
    <w:rsid w:val="00106685"/>
    <w:rsid w:val="00114C7A"/>
    <w:rsid w:val="00126511"/>
    <w:rsid w:val="00130DF7"/>
    <w:rsid w:val="00134922"/>
    <w:rsid w:val="00137518"/>
    <w:rsid w:val="00143276"/>
    <w:rsid w:val="001538FA"/>
    <w:rsid w:val="00153EEC"/>
    <w:rsid w:val="0016693E"/>
    <w:rsid w:val="0017259D"/>
    <w:rsid w:val="001759B2"/>
    <w:rsid w:val="00183375"/>
    <w:rsid w:val="00194C52"/>
    <w:rsid w:val="00195896"/>
    <w:rsid w:val="00197A45"/>
    <w:rsid w:val="001A1A20"/>
    <w:rsid w:val="001A6385"/>
    <w:rsid w:val="001A7852"/>
    <w:rsid w:val="001A7C68"/>
    <w:rsid w:val="001B4FD3"/>
    <w:rsid w:val="001C0CA5"/>
    <w:rsid w:val="001D2C30"/>
    <w:rsid w:val="001E1554"/>
    <w:rsid w:val="001E6D3F"/>
    <w:rsid w:val="001F042F"/>
    <w:rsid w:val="001F60AD"/>
    <w:rsid w:val="00205182"/>
    <w:rsid w:val="00211485"/>
    <w:rsid w:val="002156BD"/>
    <w:rsid w:val="0021709D"/>
    <w:rsid w:val="0023430B"/>
    <w:rsid w:val="002550F0"/>
    <w:rsid w:val="00261000"/>
    <w:rsid w:val="002731D2"/>
    <w:rsid w:val="00273525"/>
    <w:rsid w:val="002A24D9"/>
    <w:rsid w:val="002A4F81"/>
    <w:rsid w:val="002B42DD"/>
    <w:rsid w:val="002B515B"/>
    <w:rsid w:val="002D2938"/>
    <w:rsid w:val="002D31AE"/>
    <w:rsid w:val="002D44D0"/>
    <w:rsid w:val="002E4B7C"/>
    <w:rsid w:val="002F145D"/>
    <w:rsid w:val="002F2A70"/>
    <w:rsid w:val="00312073"/>
    <w:rsid w:val="00321A9E"/>
    <w:rsid w:val="00321B0C"/>
    <w:rsid w:val="00337DF5"/>
    <w:rsid w:val="00342F12"/>
    <w:rsid w:val="003464E9"/>
    <w:rsid w:val="003553A4"/>
    <w:rsid w:val="00355C3F"/>
    <w:rsid w:val="003729D3"/>
    <w:rsid w:val="00372FB3"/>
    <w:rsid w:val="00376CB6"/>
    <w:rsid w:val="00396404"/>
    <w:rsid w:val="003973F0"/>
    <w:rsid w:val="003A060B"/>
    <w:rsid w:val="003C415E"/>
    <w:rsid w:val="0040327F"/>
    <w:rsid w:val="004057E7"/>
    <w:rsid w:val="0041389A"/>
    <w:rsid w:val="0045095C"/>
    <w:rsid w:val="004523E2"/>
    <w:rsid w:val="00453C61"/>
    <w:rsid w:val="00457D67"/>
    <w:rsid w:val="0046039E"/>
    <w:rsid w:val="00464277"/>
    <w:rsid w:val="00466297"/>
    <w:rsid w:val="00481C35"/>
    <w:rsid w:val="004A2268"/>
    <w:rsid w:val="004A7399"/>
    <w:rsid w:val="004B3419"/>
    <w:rsid w:val="004B6E5D"/>
    <w:rsid w:val="004C705A"/>
    <w:rsid w:val="004D0BA5"/>
    <w:rsid w:val="004D1EB7"/>
    <w:rsid w:val="004E191A"/>
    <w:rsid w:val="00515462"/>
    <w:rsid w:val="00517858"/>
    <w:rsid w:val="005329BB"/>
    <w:rsid w:val="00542A01"/>
    <w:rsid w:val="00552896"/>
    <w:rsid w:val="00564AED"/>
    <w:rsid w:val="0056783E"/>
    <w:rsid w:val="00570E11"/>
    <w:rsid w:val="00577ED7"/>
    <w:rsid w:val="0058088A"/>
    <w:rsid w:val="00582A25"/>
    <w:rsid w:val="00582E73"/>
    <w:rsid w:val="005A4259"/>
    <w:rsid w:val="005A503B"/>
    <w:rsid w:val="005A7AD1"/>
    <w:rsid w:val="005B4F73"/>
    <w:rsid w:val="005E7257"/>
    <w:rsid w:val="0061055D"/>
    <w:rsid w:val="00613AB3"/>
    <w:rsid w:val="0061455B"/>
    <w:rsid w:val="00626FFC"/>
    <w:rsid w:val="00635630"/>
    <w:rsid w:val="00636A01"/>
    <w:rsid w:val="00641F5D"/>
    <w:rsid w:val="00657E0F"/>
    <w:rsid w:val="00672BED"/>
    <w:rsid w:val="00692804"/>
    <w:rsid w:val="006A7601"/>
    <w:rsid w:val="006B04A2"/>
    <w:rsid w:val="006B23A9"/>
    <w:rsid w:val="006C0843"/>
    <w:rsid w:val="006C6F99"/>
    <w:rsid w:val="006D4994"/>
    <w:rsid w:val="006E315C"/>
    <w:rsid w:val="006E67F0"/>
    <w:rsid w:val="006E7C99"/>
    <w:rsid w:val="00704B0B"/>
    <w:rsid w:val="00707310"/>
    <w:rsid w:val="0071471E"/>
    <w:rsid w:val="00715647"/>
    <w:rsid w:val="007157B6"/>
    <w:rsid w:val="00717008"/>
    <w:rsid w:val="00726A0F"/>
    <w:rsid w:val="007317D2"/>
    <w:rsid w:val="00733A39"/>
    <w:rsid w:val="00741A48"/>
    <w:rsid w:val="00756D14"/>
    <w:rsid w:val="00766057"/>
    <w:rsid w:val="00772D58"/>
    <w:rsid w:val="00777D67"/>
    <w:rsid w:val="00786E7D"/>
    <w:rsid w:val="0079118A"/>
    <w:rsid w:val="007A5093"/>
    <w:rsid w:val="007A693A"/>
    <w:rsid w:val="007B50CD"/>
    <w:rsid w:val="007D0058"/>
    <w:rsid w:val="007E34ED"/>
    <w:rsid w:val="007F0CFF"/>
    <w:rsid w:val="008005D4"/>
    <w:rsid w:val="00801706"/>
    <w:rsid w:val="00812680"/>
    <w:rsid w:val="00825088"/>
    <w:rsid w:val="00834BB4"/>
    <w:rsid w:val="00843148"/>
    <w:rsid w:val="00847CC6"/>
    <w:rsid w:val="00850408"/>
    <w:rsid w:val="00864474"/>
    <w:rsid w:val="008718ED"/>
    <w:rsid w:val="00880EAA"/>
    <w:rsid w:val="00885ED3"/>
    <w:rsid w:val="00886270"/>
    <w:rsid w:val="008A4FC4"/>
    <w:rsid w:val="008B030B"/>
    <w:rsid w:val="008C49CA"/>
    <w:rsid w:val="008D16B6"/>
    <w:rsid w:val="008D37DF"/>
    <w:rsid w:val="008E3B6C"/>
    <w:rsid w:val="008F2236"/>
    <w:rsid w:val="00905483"/>
    <w:rsid w:val="00905996"/>
    <w:rsid w:val="00917034"/>
    <w:rsid w:val="0094112A"/>
    <w:rsid w:val="00954ECD"/>
    <w:rsid w:val="00962BD3"/>
    <w:rsid w:val="009674DC"/>
    <w:rsid w:val="00973B3C"/>
    <w:rsid w:val="0098637D"/>
    <w:rsid w:val="0098732F"/>
    <w:rsid w:val="0099094F"/>
    <w:rsid w:val="00997559"/>
    <w:rsid w:val="009A272A"/>
    <w:rsid w:val="009B0EE5"/>
    <w:rsid w:val="009B62B1"/>
    <w:rsid w:val="009B740D"/>
    <w:rsid w:val="009C06E9"/>
    <w:rsid w:val="009C0CB2"/>
    <w:rsid w:val="009C5DB8"/>
    <w:rsid w:val="009D0107"/>
    <w:rsid w:val="009D56CC"/>
    <w:rsid w:val="009E0787"/>
    <w:rsid w:val="009F1EE2"/>
    <w:rsid w:val="009F3A5B"/>
    <w:rsid w:val="00A1277C"/>
    <w:rsid w:val="00A16377"/>
    <w:rsid w:val="00A56DF4"/>
    <w:rsid w:val="00A616D2"/>
    <w:rsid w:val="00A62F43"/>
    <w:rsid w:val="00A63F2B"/>
    <w:rsid w:val="00A70489"/>
    <w:rsid w:val="00A71800"/>
    <w:rsid w:val="00AA08E6"/>
    <w:rsid w:val="00AA66B6"/>
    <w:rsid w:val="00AB366F"/>
    <w:rsid w:val="00AC2878"/>
    <w:rsid w:val="00AC3BFD"/>
    <w:rsid w:val="00AC59B7"/>
    <w:rsid w:val="00AD3C7E"/>
    <w:rsid w:val="00AE64CD"/>
    <w:rsid w:val="00AF03BF"/>
    <w:rsid w:val="00AF252C"/>
    <w:rsid w:val="00AF7A4F"/>
    <w:rsid w:val="00B016BE"/>
    <w:rsid w:val="00B0190D"/>
    <w:rsid w:val="00B13391"/>
    <w:rsid w:val="00B26426"/>
    <w:rsid w:val="00B27B25"/>
    <w:rsid w:val="00B50840"/>
    <w:rsid w:val="00B66ECB"/>
    <w:rsid w:val="00B74048"/>
    <w:rsid w:val="00B74F03"/>
    <w:rsid w:val="00B752E1"/>
    <w:rsid w:val="00B772B2"/>
    <w:rsid w:val="00B928A2"/>
    <w:rsid w:val="00B93185"/>
    <w:rsid w:val="00B966B9"/>
    <w:rsid w:val="00B9709E"/>
    <w:rsid w:val="00BC0189"/>
    <w:rsid w:val="00BC28B4"/>
    <w:rsid w:val="00BD12F2"/>
    <w:rsid w:val="00BD1647"/>
    <w:rsid w:val="00BD2993"/>
    <w:rsid w:val="00BD5BAD"/>
    <w:rsid w:val="00BD5DD0"/>
    <w:rsid w:val="00BE0E94"/>
    <w:rsid w:val="00BF0FE3"/>
    <w:rsid w:val="00BF209C"/>
    <w:rsid w:val="00BF20EA"/>
    <w:rsid w:val="00BF2676"/>
    <w:rsid w:val="00BF3408"/>
    <w:rsid w:val="00BF7512"/>
    <w:rsid w:val="00C269AC"/>
    <w:rsid w:val="00C341CD"/>
    <w:rsid w:val="00C344FE"/>
    <w:rsid w:val="00C573C2"/>
    <w:rsid w:val="00C629D1"/>
    <w:rsid w:val="00C65CE4"/>
    <w:rsid w:val="00C6602A"/>
    <w:rsid w:val="00C85C02"/>
    <w:rsid w:val="00CA4288"/>
    <w:rsid w:val="00CB165E"/>
    <w:rsid w:val="00CB7E40"/>
    <w:rsid w:val="00CC1C2A"/>
    <w:rsid w:val="00CD50CC"/>
    <w:rsid w:val="00CF7F32"/>
    <w:rsid w:val="00D03E77"/>
    <w:rsid w:val="00D04BE6"/>
    <w:rsid w:val="00D129BC"/>
    <w:rsid w:val="00D14B60"/>
    <w:rsid w:val="00D33FC2"/>
    <w:rsid w:val="00D44A96"/>
    <w:rsid w:val="00D45288"/>
    <w:rsid w:val="00D604C9"/>
    <w:rsid w:val="00D64957"/>
    <w:rsid w:val="00D70E44"/>
    <w:rsid w:val="00D71C34"/>
    <w:rsid w:val="00D7542B"/>
    <w:rsid w:val="00D75B04"/>
    <w:rsid w:val="00D76422"/>
    <w:rsid w:val="00D8348D"/>
    <w:rsid w:val="00D874C7"/>
    <w:rsid w:val="00D92020"/>
    <w:rsid w:val="00D93229"/>
    <w:rsid w:val="00D93C78"/>
    <w:rsid w:val="00D96A7A"/>
    <w:rsid w:val="00D979B1"/>
    <w:rsid w:val="00DA0F68"/>
    <w:rsid w:val="00DB32DF"/>
    <w:rsid w:val="00DB3BF5"/>
    <w:rsid w:val="00DC642B"/>
    <w:rsid w:val="00DE572B"/>
    <w:rsid w:val="00DE647C"/>
    <w:rsid w:val="00DF0116"/>
    <w:rsid w:val="00DF022A"/>
    <w:rsid w:val="00DF0958"/>
    <w:rsid w:val="00DF4F8B"/>
    <w:rsid w:val="00DF5AEE"/>
    <w:rsid w:val="00DF72AB"/>
    <w:rsid w:val="00E031BB"/>
    <w:rsid w:val="00E03739"/>
    <w:rsid w:val="00E2563B"/>
    <w:rsid w:val="00E26CCE"/>
    <w:rsid w:val="00E36CB6"/>
    <w:rsid w:val="00E56577"/>
    <w:rsid w:val="00E6073F"/>
    <w:rsid w:val="00E626C2"/>
    <w:rsid w:val="00E766BE"/>
    <w:rsid w:val="00E77982"/>
    <w:rsid w:val="00E832E7"/>
    <w:rsid w:val="00E92EFF"/>
    <w:rsid w:val="00E95CA3"/>
    <w:rsid w:val="00EA6176"/>
    <w:rsid w:val="00EA6B82"/>
    <w:rsid w:val="00EB1070"/>
    <w:rsid w:val="00EF33B4"/>
    <w:rsid w:val="00EF6580"/>
    <w:rsid w:val="00F03C3F"/>
    <w:rsid w:val="00F160AE"/>
    <w:rsid w:val="00F23F4A"/>
    <w:rsid w:val="00F30345"/>
    <w:rsid w:val="00F4037F"/>
    <w:rsid w:val="00F418EF"/>
    <w:rsid w:val="00F42FC2"/>
    <w:rsid w:val="00F52A5C"/>
    <w:rsid w:val="00F6201C"/>
    <w:rsid w:val="00F66E7E"/>
    <w:rsid w:val="00F93080"/>
    <w:rsid w:val="00F953E9"/>
    <w:rsid w:val="00FA1C1C"/>
    <w:rsid w:val="00FA1C3D"/>
    <w:rsid w:val="00FA2636"/>
    <w:rsid w:val="00FB1E4D"/>
    <w:rsid w:val="00FB5CC1"/>
    <w:rsid w:val="00FD198C"/>
    <w:rsid w:val="00FE1E19"/>
    <w:rsid w:val="00FE4A71"/>
    <w:rsid w:val="00FF0827"/>
    <w:rsid w:val="00FF51FC"/>
    <w:rsid w:val="00FF7295"/>
    <w:rsid w:val="7BCC24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97559"/>
    <w:rPr>
      <w:color w:val="605E5C"/>
      <w:shd w:val="clear" w:color="auto" w:fill="E1DFDD"/>
    </w:rPr>
  </w:style>
  <w:style w:type="paragraph" w:styleId="Revision">
    <w:name w:val="Revision"/>
    <w:hidden/>
    <w:semiHidden/>
    <w:rsid w:val="00DA0F6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asec.org.uk/" TargetMode="External"/><Relationship Id="rId18" Type="http://schemas.openxmlformats.org/officeDocument/2006/relationships/hyperlink" Target="https://www.thefis.org/2019/10/17/welsh-roadmap-to-safer-building-in-wales/" TargetMode="External"/><Relationship Id="rId26" Type="http://schemas.openxmlformats.org/officeDocument/2006/relationships/hyperlink" Target="https://www.hse.gov.uk/events/rospa-legal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assiv.de/en/02_informations/02_passive-house-requirements/02_passive-house-requirements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anyardsolutions.co.uk/risk-assessment-method-statements-explained/" TargetMode="External"/><Relationship Id="rId17" Type="http://schemas.openxmlformats.org/officeDocument/2006/relationships/hyperlink" Target="https://constructionblueprint.eu/2019/12/27/key-report-available-to-understand-the-construction-industry-context/" TargetMode="External"/><Relationship Id="rId25" Type="http://schemas.openxmlformats.org/officeDocument/2006/relationships/hyperlink" Target="https://www.hse.gov.uk/construction/cdm/2015/index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uilding.co.uk/focus/countdown-to-zero-how-can-the-uk-meet-its-2050-carbon-targets/5109420.article" TargetMode="External"/><Relationship Id="rId20" Type="http://schemas.openxmlformats.org/officeDocument/2006/relationships/hyperlink" Target="https://standard.wellcertified.com/wel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gov.uk/government/publications/material-and-workmanship-approved-document-7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bsigroup.com/en-GB/kitemark/product-testing/" TargetMode="External"/><Relationship Id="rId23" Type="http://schemas.openxmlformats.org/officeDocument/2006/relationships/hyperlink" Target="https://www.gov.uk/guidance/ce-marking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ganttexcel.com/construction-gantt-chart-excel-templat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reeam.com/" TargetMode="External"/><Relationship Id="rId22" Type="http://schemas.openxmlformats.org/officeDocument/2006/relationships/hyperlink" Target="https://www.wellcertified.com/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7E511D-48C3-410B-A9D5-90460EB1DDC2}"/>
</file>

<file path=customXml/itemProps2.xml><?xml version="1.0" encoding="utf-8"?>
<ds:datastoreItem xmlns:ds="http://schemas.openxmlformats.org/officeDocument/2006/customXml" ds:itemID="{AD3D361D-E071-4EC9-A969-B4E681CD81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CDFFAE-7205-49F4-8D64-7AE8F0F3C2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2</cp:revision>
  <cp:lastPrinted>2021-02-03T13:26:00Z</cp:lastPrinted>
  <dcterms:created xsi:type="dcterms:W3CDTF">2021-12-20T10:49:00Z</dcterms:created>
  <dcterms:modified xsi:type="dcterms:W3CDTF">2021-12-20T10:49:00Z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