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5219992E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515462">
        <w:t>3</w:t>
      </w:r>
      <w:r w:rsidR="0090187A">
        <w:t>1</w:t>
      </w:r>
      <w:r w:rsidR="00F262DE">
        <w:t>3</w:t>
      </w:r>
      <w:r w:rsidR="00CC1C2A" w:rsidRPr="00CC1C2A">
        <w:t xml:space="preserve">: </w:t>
      </w:r>
      <w:r w:rsidR="00F262DE">
        <w:t>Establish and maintain relationships in the Building Services Engineering sector</w:t>
      </w:r>
    </w:p>
    <w:p w14:paraId="3719F5E0" w14:textId="5A6CEFD1" w:rsidR="009B0EE5" w:rsidRPr="0040327F" w:rsidRDefault="006B23A9" w:rsidP="00221F7F">
      <w:pPr>
        <w:pStyle w:val="Heading1"/>
        <w:spacing w:after="240"/>
        <w:rPr>
          <w:sz w:val="28"/>
          <w:szCs w:val="28"/>
        </w:rPr>
        <w:sectPr w:rsidR="009B0EE5" w:rsidRPr="0040327F" w:rsidSect="006C0843">
          <w:headerReference w:type="default" r:id="rId10"/>
          <w:footerReference w:type="default" r:id="rId11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0327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4B63C802" w14:textId="77777777" w:rsidR="00F262DE" w:rsidRDefault="00F262DE" w:rsidP="000F364F">
      <w:pPr>
        <w:spacing w:before="0" w:line="240" w:lineRule="auto"/>
      </w:pPr>
      <w:r>
        <w:t>This unit consists of knowledge, understanding and performance and enables learners to develop and maintain positive relationships with clients and customers associated with the installation and/or maintenance activities in the building services engineering sector in accordance with:</w:t>
      </w:r>
    </w:p>
    <w:p w14:paraId="3E3C0573" w14:textId="204BF3B1" w:rsidR="00F262DE" w:rsidRDefault="00F262DE" w:rsidP="00F262DE">
      <w:pPr>
        <w:pStyle w:val="Normalbulletlist"/>
      </w:pPr>
      <w:r>
        <w:t>appropriate industry standards and regulations</w:t>
      </w:r>
    </w:p>
    <w:p w14:paraId="264085A9" w14:textId="77777777" w:rsidR="00F262DE" w:rsidRDefault="00F262DE" w:rsidP="00F262DE">
      <w:pPr>
        <w:pStyle w:val="Normalbulletlist"/>
      </w:pPr>
      <w:r>
        <w:t>the specification</w:t>
      </w:r>
    </w:p>
    <w:p w14:paraId="47E995A1" w14:textId="77777777" w:rsidR="00F262DE" w:rsidRDefault="00F262DE" w:rsidP="00F262DE">
      <w:pPr>
        <w:pStyle w:val="Normalbulletlist"/>
      </w:pPr>
      <w:r>
        <w:t>working practices</w:t>
      </w:r>
    </w:p>
    <w:p w14:paraId="78A6EA29" w14:textId="1E13815E" w:rsidR="00F262DE" w:rsidRDefault="00F262DE" w:rsidP="00F262DE">
      <w:pPr>
        <w:pStyle w:val="Normalbulletlist"/>
      </w:pPr>
      <w:r>
        <w:t xml:space="preserve">the working and natural environment. </w:t>
      </w:r>
      <w:r>
        <w:br/>
      </w:r>
    </w:p>
    <w:p w14:paraId="32AFFDDD" w14:textId="77777777" w:rsidR="00F262DE" w:rsidRDefault="00F262DE" w:rsidP="000F364F">
      <w:pPr>
        <w:spacing w:before="0" w:line="240" w:lineRule="auto"/>
      </w:pPr>
      <w:r>
        <w:t>The learner will have the responsibility for establishing and maintaining client and customer relationships and will be able to:</w:t>
      </w:r>
    </w:p>
    <w:p w14:paraId="08646763" w14:textId="77777777" w:rsidR="00F262DE" w:rsidRDefault="00F262DE" w:rsidP="00F262DE">
      <w:pPr>
        <w:pStyle w:val="Normalbulletlist"/>
      </w:pPr>
      <w:r>
        <w:t>present and provide accurate technical and functional information, advice, and guidance</w:t>
      </w:r>
    </w:p>
    <w:p w14:paraId="211E2DD1" w14:textId="77777777" w:rsidR="00F262DE" w:rsidRDefault="00F262DE" w:rsidP="00F262DE">
      <w:pPr>
        <w:pStyle w:val="Normalbulletlist"/>
      </w:pPr>
      <w:r>
        <w:t>liaise with clients and customers with respect to their needs and expectations</w:t>
      </w:r>
    </w:p>
    <w:p w14:paraId="4954E844" w14:textId="0C8FF149" w:rsidR="00F262DE" w:rsidRDefault="00F262DE" w:rsidP="00F262DE">
      <w:pPr>
        <w:pStyle w:val="Normalbulletlist"/>
      </w:pPr>
      <w:r>
        <w:t>respond as appropriate to client and customer needs and expectations.</w:t>
      </w:r>
    </w:p>
    <w:p w14:paraId="72E6AF9B" w14:textId="77777777" w:rsidR="00D34604" w:rsidRDefault="00D34604" w:rsidP="000F364F">
      <w:pPr>
        <w:spacing w:before="0" w:line="240" w:lineRule="auto"/>
      </w:pPr>
    </w:p>
    <w:p w14:paraId="18E07F45" w14:textId="405AB536" w:rsidR="00515462" w:rsidRDefault="00515462" w:rsidP="000F364F">
      <w:pPr>
        <w:spacing w:before="0" w:line="240" w:lineRule="auto"/>
      </w:pPr>
      <w:r>
        <w:t>Learners may be introduced to this unit by asking themselves questions such as:</w:t>
      </w:r>
    </w:p>
    <w:p w14:paraId="751E1302" w14:textId="77777777" w:rsidR="00F262DE" w:rsidRDefault="00F262DE" w:rsidP="00F262DE">
      <w:pPr>
        <w:pStyle w:val="Normalbulletlist"/>
      </w:pPr>
      <w:r>
        <w:t>What is the technical and functional information required for my work?</w:t>
      </w:r>
    </w:p>
    <w:p w14:paraId="765D7CEB" w14:textId="77777777" w:rsidR="00F262DE" w:rsidRDefault="00F262DE" w:rsidP="00F262DE">
      <w:pPr>
        <w:pStyle w:val="Normalbulletlist"/>
      </w:pPr>
      <w:r>
        <w:t>How can I provide excellent customer service?</w:t>
      </w:r>
    </w:p>
    <w:p w14:paraId="7AF1CA8F" w14:textId="16EBC918" w:rsidR="0090187A" w:rsidRDefault="00F262DE" w:rsidP="00F262DE">
      <w:pPr>
        <w:pStyle w:val="Normalbulletlist"/>
      </w:pPr>
      <w:r>
        <w:t>Why is data protection important?</w:t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005F8816" w14:textId="77777777" w:rsidR="00521951" w:rsidRDefault="00521951" w:rsidP="00494738">
      <w:pPr>
        <w:pStyle w:val="Normalnumberedlist"/>
      </w:pPr>
      <w:r>
        <w:t xml:space="preserve">Understand </w:t>
      </w:r>
      <w:r w:rsidR="00494738" w:rsidRPr="00494738">
        <w:t>the types of technical and functional information that is available for the installation and/or maintenance activity</w:t>
      </w:r>
    </w:p>
    <w:p w14:paraId="7EF49A64" w14:textId="77777777" w:rsidR="00521951" w:rsidRDefault="00521951" w:rsidP="00494738">
      <w:pPr>
        <w:pStyle w:val="Normalnumberedlist"/>
      </w:pPr>
      <w:r>
        <w:t>Understand</w:t>
      </w:r>
      <w:r w:rsidR="00494738" w:rsidRPr="00494738">
        <w:t xml:space="preserve"> the procedures for supplying technical and functional information to relevant people</w:t>
      </w:r>
    </w:p>
    <w:p w14:paraId="642DE91B" w14:textId="5A2E3442" w:rsidR="00521951" w:rsidRDefault="00521951" w:rsidP="00494738">
      <w:pPr>
        <w:pStyle w:val="Normalnumberedlist"/>
      </w:pPr>
      <w:r>
        <w:t>Understand</w:t>
      </w:r>
      <w:r w:rsidR="00494738" w:rsidRPr="00494738">
        <w:t xml:space="preserve"> the importance of customer service in relation to installation and/or maintenance activity</w:t>
      </w:r>
    </w:p>
    <w:p w14:paraId="46866FEB" w14:textId="77777777" w:rsidR="00E511ED" w:rsidRDefault="00E511ED" w:rsidP="00E511ED">
      <w:pPr>
        <w:pStyle w:val="Normalnumberedlist"/>
        <w:numPr>
          <w:ilvl w:val="0"/>
          <w:numId w:val="0"/>
        </w:numPr>
      </w:pPr>
    </w:p>
    <w:p w14:paraId="08DFC3D6" w14:textId="6515A3F4" w:rsidR="00E511ED" w:rsidRDefault="00E511ED" w:rsidP="00E511ED">
      <w:pPr>
        <w:pStyle w:val="Normalnumberedlist"/>
        <w:numPr>
          <w:ilvl w:val="0"/>
          <w:numId w:val="0"/>
        </w:numPr>
      </w:pPr>
      <w:r w:rsidRPr="00A97D4E">
        <w:t xml:space="preserve">This </w:t>
      </w:r>
      <w:r>
        <w:t>d</w:t>
      </w:r>
      <w:r w:rsidRPr="00A97D4E">
        <w:t>elivery guide only covers the knowledge and understanding elements within this unit, not the performance criteria which are specific to the learner’s workplace.</w:t>
      </w:r>
      <w:r>
        <w:t xml:space="preserve"> The performance criteria</w:t>
      </w:r>
      <w:r w:rsidR="003558D5">
        <w:t xml:space="preserve"> for this unit</w:t>
      </w:r>
      <w:r>
        <w:t xml:space="preserve"> </w:t>
      </w:r>
      <w:r w:rsidR="00A50FDB">
        <w:t xml:space="preserve">are </w:t>
      </w:r>
      <w:r>
        <w:t>listed below:</w:t>
      </w:r>
    </w:p>
    <w:p w14:paraId="39979FF1" w14:textId="77777777" w:rsidR="00E511ED" w:rsidRDefault="00E511ED" w:rsidP="00E511ED">
      <w:pPr>
        <w:pStyle w:val="Normalnumberedlist"/>
        <w:numPr>
          <w:ilvl w:val="0"/>
          <w:numId w:val="0"/>
        </w:numPr>
      </w:pPr>
    </w:p>
    <w:p w14:paraId="06B2CB7F" w14:textId="77777777" w:rsidR="00702A28" w:rsidRDefault="00702A28" w:rsidP="00494738">
      <w:pPr>
        <w:pStyle w:val="Normalnumberedlist"/>
      </w:pPr>
      <w:r>
        <w:t>S</w:t>
      </w:r>
      <w:r w:rsidR="00494738" w:rsidRPr="00494738">
        <w:t>upplying technical and functional information</w:t>
      </w:r>
    </w:p>
    <w:p w14:paraId="4528D191" w14:textId="77777777" w:rsidR="00702A28" w:rsidRDefault="00702A28" w:rsidP="00494738">
      <w:pPr>
        <w:pStyle w:val="Normalnumberedlist"/>
      </w:pPr>
      <w:r>
        <w:t>P</w:t>
      </w:r>
      <w:r w:rsidR="00494738" w:rsidRPr="00494738">
        <w:t>roviding accurate guidance and advice to the clients and customers on technical and functional matters</w:t>
      </w:r>
    </w:p>
    <w:p w14:paraId="65DC2F37" w14:textId="77777777" w:rsidR="00702A28" w:rsidRDefault="00702A28" w:rsidP="00494738">
      <w:pPr>
        <w:pStyle w:val="Normalnumberedlist"/>
      </w:pPr>
      <w:r>
        <w:t>H</w:t>
      </w:r>
      <w:r w:rsidR="00494738" w:rsidRPr="00494738">
        <w:t>andover procedures</w:t>
      </w:r>
    </w:p>
    <w:p w14:paraId="18D10A09" w14:textId="77777777" w:rsidR="00702A28" w:rsidRDefault="00702A28" w:rsidP="00494738">
      <w:pPr>
        <w:pStyle w:val="Normalnumberedlist"/>
      </w:pPr>
      <w:r>
        <w:t>M</w:t>
      </w:r>
      <w:r w:rsidR="00494738" w:rsidRPr="00494738">
        <w:t>aintaining productive working relationships with clients and customers</w:t>
      </w:r>
    </w:p>
    <w:p w14:paraId="63E02EBD" w14:textId="77777777" w:rsidR="00702A28" w:rsidRDefault="00702A28" w:rsidP="00494738">
      <w:pPr>
        <w:pStyle w:val="Normalnumberedlist"/>
      </w:pPr>
      <w:r>
        <w:t>R</w:t>
      </w:r>
      <w:r w:rsidR="00494738" w:rsidRPr="00494738">
        <w:t>espond effectively to requests for technical and functional information</w:t>
      </w:r>
    </w:p>
    <w:p w14:paraId="3C1BC72F" w14:textId="77777777" w:rsidR="00702A28" w:rsidRDefault="00702A28" w:rsidP="00494738">
      <w:pPr>
        <w:pStyle w:val="Normalnumberedlist"/>
      </w:pPr>
      <w:r>
        <w:t>F</w:t>
      </w:r>
      <w:r w:rsidR="00494738" w:rsidRPr="00494738">
        <w:t>ollowing procedure for any variations</w:t>
      </w:r>
    </w:p>
    <w:p w14:paraId="49509F56" w14:textId="7E852F94" w:rsidR="001D1D5F" w:rsidRDefault="00702A28" w:rsidP="00857CF1">
      <w:pPr>
        <w:pStyle w:val="Normalnumberedlist"/>
      </w:pPr>
      <w:r>
        <w:t>C</w:t>
      </w:r>
      <w:r w:rsidR="00494738" w:rsidRPr="00494738">
        <w:t>omplying with organisational standards for appearance and behaviour</w:t>
      </w:r>
    </w:p>
    <w:p w14:paraId="7E102150" w14:textId="33E0B1F0" w:rsidR="001D1D5F" w:rsidRDefault="001D1D5F" w:rsidP="001D1D5F">
      <w:pPr>
        <w:pStyle w:val="Normalnumberedlist"/>
        <w:numPr>
          <w:ilvl w:val="0"/>
          <w:numId w:val="0"/>
        </w:numPr>
        <w:ind w:left="357" w:hanging="357"/>
      </w:pPr>
    </w:p>
    <w:p w14:paraId="4E171ACE" w14:textId="77777777" w:rsidR="00221F7F" w:rsidRPr="00494738" w:rsidRDefault="00221F7F" w:rsidP="001D1D5F">
      <w:pPr>
        <w:pStyle w:val="Normalnumberedlist"/>
        <w:numPr>
          <w:ilvl w:val="0"/>
          <w:numId w:val="0"/>
        </w:numPr>
        <w:ind w:left="357" w:hanging="357"/>
      </w:pPr>
    </w:p>
    <w:p w14:paraId="05E8087E" w14:textId="6776B2DD" w:rsidR="004D0BA5" w:rsidRPr="001C0CA5" w:rsidRDefault="00DF022A" w:rsidP="000F364F">
      <w:pPr>
        <w:pStyle w:val="Style1"/>
        <w:spacing w:before="0" w:line="240" w:lineRule="auto"/>
      </w:pPr>
      <w:r>
        <w:lastRenderedPageBreak/>
        <w:t>Suggested resources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0" w:name="_Hlk77780823"/>
      <w:bookmarkStart w:id="1" w:name="_Hlk77780722"/>
      <w:bookmarkStart w:id="2" w:name="_Hlk77779949"/>
      <w:r>
        <w:t>Textbooks</w:t>
      </w:r>
    </w:p>
    <w:bookmarkEnd w:id="0"/>
    <w:p w14:paraId="372317C8" w14:textId="77777777" w:rsidR="00EC6463" w:rsidRPr="005C763B" w:rsidRDefault="00EC6463" w:rsidP="00EC6463">
      <w:pPr>
        <w:pStyle w:val="Normalbulletlist"/>
        <w:rPr>
          <w:rFonts w:eastAsia="Arial"/>
        </w:rPr>
      </w:pPr>
      <w:r>
        <w:t xml:space="preserve">Gashe, M., Byrne, K. (2020) </w:t>
      </w:r>
      <w:r w:rsidRPr="00DD2E29">
        <w:rPr>
          <w:i/>
          <w:iCs/>
        </w:rPr>
        <w:t>The City &amp; Guilds Textbook: Plastering for Levels 1 and 2</w:t>
      </w:r>
      <w:r>
        <w:t>. London: Hodder Education.</w:t>
      </w:r>
    </w:p>
    <w:p w14:paraId="6DF53818" w14:textId="5AE75AE4" w:rsidR="00114C7A" w:rsidRDefault="00EC6463" w:rsidP="00EC6463">
      <w:pPr>
        <w:pStyle w:val="Normalbulletlist"/>
        <w:numPr>
          <w:ilvl w:val="0"/>
          <w:numId w:val="0"/>
        </w:numPr>
        <w:ind w:left="284"/>
      </w:pPr>
      <w:r>
        <w:t>ISBN 978-1-3983-0647-9</w:t>
      </w:r>
    </w:p>
    <w:p w14:paraId="7375DFFC" w14:textId="77777777" w:rsidR="00114C7A" w:rsidRDefault="00114C7A" w:rsidP="00114C7A">
      <w:pPr>
        <w:pStyle w:val="Normalheadingblack"/>
        <w:rPr>
          <w:bCs/>
          <w:szCs w:val="22"/>
        </w:rPr>
      </w:pPr>
      <w:bookmarkStart w:id="3" w:name="_Hlk77780839"/>
      <w:r>
        <w:t>Websites</w:t>
      </w:r>
    </w:p>
    <w:bookmarkEnd w:id="1"/>
    <w:p w14:paraId="47510EF4" w14:textId="4562B5B4" w:rsidR="00285647" w:rsidRDefault="00285647" w:rsidP="00285647">
      <w:pPr>
        <w:pStyle w:val="Normalbulletlist"/>
      </w:pPr>
      <w:r>
        <w:fldChar w:fldCharType="begin"/>
      </w:r>
      <w:r w:rsidR="000D7197">
        <w:instrText>HYPERLINK "https://blog.atinternet.com/en/15-questions-to-test-your-gdpr-knowledge/"</w:instrText>
      </w:r>
      <w:r>
        <w:fldChar w:fldCharType="separate"/>
      </w:r>
      <w:r w:rsidR="000D7197">
        <w:rPr>
          <w:rStyle w:val="Hyperlink"/>
        </w:rPr>
        <w:t xml:space="preserve">AT Internet | GDPR Quiz: Questions and Answers on the Protection of Personal Data </w:t>
      </w:r>
      <w:r>
        <w:fldChar w:fldCharType="end"/>
      </w:r>
    </w:p>
    <w:p w14:paraId="3AF9504E" w14:textId="77777777" w:rsidR="003F493D" w:rsidRDefault="00221F7F" w:rsidP="003F493D">
      <w:pPr>
        <w:pStyle w:val="Normalbulletlist"/>
        <w:rPr>
          <w:rFonts w:eastAsia="Arial"/>
        </w:rPr>
      </w:pPr>
      <w:hyperlink r:id="rId12" w:history="1">
        <w:r w:rsidR="003F493D">
          <w:rPr>
            <w:rStyle w:val="Hyperlink"/>
            <w:rFonts w:eastAsia="Arial" w:cs="Arial"/>
            <w:szCs w:val="22"/>
          </w:rPr>
          <w:t>Business Balls | Role playing and role play games process and tips</w:t>
        </w:r>
      </w:hyperlink>
    </w:p>
    <w:p w14:paraId="789A9471" w14:textId="77777777" w:rsidR="00285647" w:rsidRPr="00285647" w:rsidRDefault="00221F7F" w:rsidP="000159FD">
      <w:pPr>
        <w:pStyle w:val="Normalbulletlist"/>
        <w:rPr>
          <w:rStyle w:val="Hyperlink"/>
          <w:rFonts w:eastAsia="Arial"/>
          <w:color w:val="auto"/>
          <w:u w:val="none"/>
        </w:rPr>
      </w:pPr>
      <w:hyperlink r:id="rId13" w:history="1">
        <w:r w:rsidR="00285647">
          <w:rPr>
            <w:rStyle w:val="Hyperlink"/>
            <w:rFonts w:eastAsia="Arial" w:cs="Arial"/>
            <w:szCs w:val="22"/>
          </w:rPr>
          <w:t>Contracts Counsel | What is a Contractual Agreement?</w:t>
        </w:r>
      </w:hyperlink>
    </w:p>
    <w:p w14:paraId="3D2049A2" w14:textId="77777777" w:rsidR="00285647" w:rsidRDefault="00221F7F" w:rsidP="00285647">
      <w:pPr>
        <w:pStyle w:val="Normalbulletlist"/>
        <w:rPr>
          <w:rFonts w:eastAsia="Arial"/>
        </w:rPr>
      </w:pPr>
      <w:hyperlink r:id="rId14" w:history="1">
        <w:r w:rsidR="00285647">
          <w:rPr>
            <w:rStyle w:val="Hyperlink"/>
            <w:rFonts w:eastAsia="Arial" w:cs="Arial"/>
            <w:szCs w:val="22"/>
          </w:rPr>
          <w:t>ICO | Guide to the UK General Data Protection Regulation (UK GDPR)</w:t>
        </w:r>
      </w:hyperlink>
    </w:p>
    <w:p w14:paraId="5DDC70B1" w14:textId="77777777" w:rsidR="00285647" w:rsidRDefault="00221F7F" w:rsidP="00285647">
      <w:pPr>
        <w:pStyle w:val="Normalbulletlist"/>
        <w:rPr>
          <w:rFonts w:eastAsia="Arial"/>
        </w:rPr>
      </w:pPr>
      <w:hyperlink r:id="rId15" w:history="1">
        <w:r w:rsidR="00285647">
          <w:rPr>
            <w:rStyle w:val="Hyperlink"/>
            <w:rFonts w:eastAsia="Arial" w:cs="Arial"/>
            <w:szCs w:val="22"/>
          </w:rPr>
          <w:t>SIUE | Elements of Effective Group Presentations</w:t>
        </w:r>
      </w:hyperlink>
    </w:p>
    <w:p w14:paraId="08539F22" w14:textId="715EC608" w:rsidR="006B7E00" w:rsidRPr="00285647" w:rsidRDefault="00221F7F" w:rsidP="00285647">
      <w:pPr>
        <w:pStyle w:val="Normalbulletlist"/>
        <w:rPr>
          <w:rFonts w:eastAsia="Arial"/>
        </w:rPr>
      </w:pPr>
      <w:hyperlink r:id="rId16" w:history="1">
        <w:r w:rsidR="00BE7EE7">
          <w:rPr>
            <w:rStyle w:val="Hyperlink"/>
            <w:rFonts w:eastAsia="Arial" w:cs="Arial"/>
            <w:szCs w:val="22"/>
          </w:rPr>
          <w:t>YouTube | Step by step directions for creating a mind map</w:t>
        </w:r>
      </w:hyperlink>
    </w:p>
    <w:bookmarkEnd w:id="2"/>
    <w:bookmarkEnd w:id="3"/>
    <w:p w14:paraId="3050639E" w14:textId="05F0DF41" w:rsidR="00C82133" w:rsidRDefault="00C82133" w:rsidP="00C82133">
      <w:pPr>
        <w:pStyle w:val="Normalheadingblack"/>
      </w:pPr>
      <w:r>
        <w:t xml:space="preserve">Legislation </w:t>
      </w:r>
    </w:p>
    <w:p w14:paraId="202A5FA3" w14:textId="77777777" w:rsidR="00C82133" w:rsidRDefault="00221F7F" w:rsidP="00C82133">
      <w:pPr>
        <w:pStyle w:val="Normalbulletlist"/>
        <w:rPr>
          <w:rFonts w:eastAsia="Arial"/>
        </w:rPr>
      </w:pPr>
      <w:hyperlink r:id="rId17" w:history="1">
        <w:r w:rsidR="00C82133">
          <w:rPr>
            <w:rStyle w:val="Hyperlink"/>
            <w:rFonts w:eastAsia="Arial" w:cs="Arial"/>
            <w:szCs w:val="22"/>
          </w:rPr>
          <w:t>GOV.UK | Data protection</w:t>
        </w:r>
      </w:hyperlink>
    </w:p>
    <w:p w14:paraId="7A870D9C" w14:textId="77777777" w:rsidR="00C82133" w:rsidRDefault="00221F7F" w:rsidP="00C82133">
      <w:pPr>
        <w:pStyle w:val="Normalbulletlist"/>
        <w:rPr>
          <w:rFonts w:eastAsia="Arial"/>
        </w:rPr>
      </w:pPr>
      <w:hyperlink r:id="rId18" w:history="1">
        <w:r w:rsidR="00C82133">
          <w:rPr>
            <w:rStyle w:val="Hyperlink"/>
            <w:rFonts w:eastAsia="Arial" w:cs="Arial"/>
            <w:szCs w:val="22"/>
          </w:rPr>
          <w:t>GOV.UK | Consumer Rights Act 2015</w:t>
        </w:r>
      </w:hyperlink>
    </w:p>
    <w:p w14:paraId="2A22153B" w14:textId="77777777" w:rsidR="00C82133" w:rsidRDefault="00221F7F" w:rsidP="00C82133">
      <w:pPr>
        <w:pStyle w:val="Normalbulletlist"/>
        <w:rPr>
          <w:rFonts w:eastAsia="Arial"/>
        </w:rPr>
      </w:pPr>
      <w:hyperlink r:id="rId19" w:history="1">
        <w:r w:rsidR="00C82133">
          <w:rPr>
            <w:rStyle w:val="Hyperlink"/>
            <w:rFonts w:eastAsia="Arial" w:cs="Arial"/>
            <w:szCs w:val="22"/>
          </w:rPr>
          <w:t>GOV.UK | Equality Act 2010</w:t>
        </w:r>
      </w:hyperlink>
    </w:p>
    <w:p w14:paraId="78954023" w14:textId="77777777" w:rsidR="00C82133" w:rsidRDefault="00221F7F" w:rsidP="00C82133">
      <w:pPr>
        <w:pStyle w:val="Normalbulletlist"/>
        <w:rPr>
          <w:rFonts w:eastAsia="Arial"/>
        </w:rPr>
      </w:pPr>
      <w:hyperlink r:id="rId20" w:history="1">
        <w:r w:rsidR="00C82133">
          <w:rPr>
            <w:rStyle w:val="Hyperlink"/>
            <w:rFonts w:eastAsia="Arial" w:cs="Arial"/>
            <w:szCs w:val="22"/>
          </w:rPr>
          <w:t>GOV.UK | Equality Act 2010: guidance</w:t>
        </w:r>
      </w:hyperlink>
    </w:p>
    <w:p w14:paraId="38301409" w14:textId="77777777" w:rsidR="00C82133" w:rsidRDefault="00221F7F" w:rsidP="00C82133">
      <w:pPr>
        <w:pStyle w:val="Normalbulletlist"/>
      </w:pPr>
      <w:hyperlink r:id="rId21" w:history="1">
        <w:r w:rsidR="00C82133">
          <w:rPr>
            <w:rStyle w:val="Hyperlink"/>
          </w:rPr>
          <w:t xml:space="preserve">GOV.UK | Guidance on promoting British values in schools published </w:t>
        </w:r>
      </w:hyperlink>
    </w:p>
    <w:p w14:paraId="277D63B4" w14:textId="77777777" w:rsidR="00C82133" w:rsidRDefault="00221F7F" w:rsidP="00C82133">
      <w:pPr>
        <w:pStyle w:val="Normalbulletlist"/>
      </w:pPr>
      <w:hyperlink r:id="rId22" w:history="1">
        <w:r w:rsidR="00C82133">
          <w:rPr>
            <w:rStyle w:val="Hyperlink"/>
          </w:rPr>
          <w:t>GOV.UK | The use of social media for online radicalisation</w:t>
        </w:r>
      </w:hyperlink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56D9BB23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3ADE790A" w14:textId="77777777" w:rsidR="00811E84" w:rsidRDefault="00811E84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061A5293" w:rsidR="00811E84" w:rsidRDefault="00811E84" w:rsidP="00DF022A">
      <w:pPr>
        <w:pStyle w:val="Normalbulletsublist"/>
        <w:numPr>
          <w:ilvl w:val="0"/>
          <w:numId w:val="0"/>
        </w:numPr>
        <w:ind w:left="568" w:hanging="284"/>
        <w:sectPr w:rsidR="00811E84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23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1D1D5F" w:rsidRPr="00D979B1" w14:paraId="1E63667F" w14:textId="77777777" w:rsidTr="00F85EBB">
        <w:trPr>
          <w:trHeight w:val="855"/>
        </w:trPr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0A5EF4D0" w14:textId="706B4936" w:rsidR="001D1D5F" w:rsidRPr="00CD50CC" w:rsidRDefault="001D1D5F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Understand the types of technical and functional information that is available for the installation and/or maintenance activity</w:t>
            </w:r>
          </w:p>
        </w:tc>
        <w:tc>
          <w:tcPr>
            <w:tcW w:w="3627" w:type="dxa"/>
            <w:tcBorders>
              <w:top w:val="nil"/>
            </w:tcBorders>
          </w:tcPr>
          <w:p w14:paraId="404EE5F5" w14:textId="179B12FF" w:rsidR="001D1D5F" w:rsidRPr="00CD50CC" w:rsidRDefault="001D1D5F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sources of technical and functional information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762A529A" w14:textId="2F90317B" w:rsidR="00B41D9F" w:rsidRDefault="00F5536C" w:rsidP="000159FD">
            <w:pPr>
              <w:pStyle w:val="Normalbulletlist"/>
            </w:pPr>
            <w:r>
              <w:t xml:space="preserve">Learners </w:t>
            </w:r>
            <w:r w:rsidR="00C51E22">
              <w:t>to</w:t>
            </w:r>
            <w:r>
              <w:t xml:space="preserve"> research</w:t>
            </w:r>
            <w:r w:rsidR="009868CA">
              <w:t>,</w:t>
            </w:r>
            <w:r>
              <w:t xml:space="preserve"> discuss and refer to their own industry practice and workplace experience</w:t>
            </w:r>
            <w:r w:rsidR="00B41D9F">
              <w:t xml:space="preserve"> to improve</w:t>
            </w:r>
            <w:r>
              <w:t xml:space="preserve"> the</w:t>
            </w:r>
            <w:r w:rsidR="00B41D9F">
              <w:t>ir</w:t>
            </w:r>
            <w:r>
              <w:t xml:space="preserve"> understanding of technical and functional information </w:t>
            </w:r>
            <w:r w:rsidR="00E54036">
              <w:t xml:space="preserve">including appropriate health and safety information </w:t>
            </w:r>
            <w:r>
              <w:t xml:space="preserve">such as: </w:t>
            </w:r>
          </w:p>
          <w:p w14:paraId="057B7E92" w14:textId="5EC18136" w:rsidR="00B41D9F" w:rsidRDefault="00F5536C" w:rsidP="00B41D9F">
            <w:pPr>
              <w:pStyle w:val="Normalbulletsublist"/>
            </w:pPr>
            <w:r>
              <w:t>manufacturer information and data</w:t>
            </w:r>
          </w:p>
          <w:p w14:paraId="16EBD160" w14:textId="1062FC64" w:rsidR="00B41D9F" w:rsidRDefault="00F5536C" w:rsidP="00B41D9F">
            <w:pPr>
              <w:pStyle w:val="Normalbulletsublist"/>
            </w:pPr>
            <w:r>
              <w:t>supplier information and data</w:t>
            </w:r>
          </w:p>
          <w:p w14:paraId="01B79937" w14:textId="09259AEA" w:rsidR="00B41D9F" w:rsidRDefault="00F5536C" w:rsidP="00B41D9F">
            <w:pPr>
              <w:pStyle w:val="Normalbulletsublist"/>
            </w:pPr>
            <w:r>
              <w:t>information from their employing organisation</w:t>
            </w:r>
          </w:p>
          <w:p w14:paraId="18FB0F6C" w14:textId="676B0001" w:rsidR="00B41D9F" w:rsidRDefault="00F5536C" w:rsidP="00B41D9F">
            <w:pPr>
              <w:pStyle w:val="Normalbulletsublist"/>
            </w:pPr>
            <w:r>
              <w:t>installation specifications</w:t>
            </w:r>
          </w:p>
          <w:p w14:paraId="69DF10B2" w14:textId="1293A83F" w:rsidR="00B41D9F" w:rsidRDefault="00F5536C" w:rsidP="00B41D9F">
            <w:pPr>
              <w:pStyle w:val="Normalbulletsublist"/>
            </w:pPr>
            <w:r>
              <w:t>client/customer specifications</w:t>
            </w:r>
          </w:p>
          <w:p w14:paraId="19473704" w14:textId="2B1BCCFA" w:rsidR="00B41D9F" w:rsidRDefault="00F5536C" w:rsidP="00B41D9F">
            <w:pPr>
              <w:pStyle w:val="Normalbulletsublist"/>
            </w:pPr>
            <w:r>
              <w:t>specifications</w:t>
            </w:r>
          </w:p>
          <w:p w14:paraId="5ED4FB7E" w14:textId="52176EF3" w:rsidR="00B41D9F" w:rsidRDefault="00F5536C" w:rsidP="00B41D9F">
            <w:pPr>
              <w:pStyle w:val="Normalbulletsublist"/>
            </w:pPr>
            <w:r>
              <w:t>drawings</w:t>
            </w:r>
          </w:p>
          <w:p w14:paraId="52A1A5D3" w14:textId="2BC0F6E7" w:rsidR="00F5536C" w:rsidRPr="00CD50CC" w:rsidRDefault="00F5536C" w:rsidP="00B41D9F">
            <w:pPr>
              <w:pStyle w:val="Normalbulletsublist"/>
            </w:pPr>
            <w:r>
              <w:t>diagrams</w:t>
            </w:r>
            <w:r w:rsidR="00B41D9F">
              <w:t>.</w:t>
            </w:r>
            <w:r w:rsidR="001D1D5F" w:rsidRPr="00CD50CC">
              <w:t xml:space="preserve"> </w:t>
            </w:r>
          </w:p>
        </w:tc>
      </w:tr>
      <w:tr w:rsidR="001D1D5F" w:rsidRPr="00D979B1" w14:paraId="56A284C1" w14:textId="77777777" w:rsidTr="00CD16E1">
        <w:trPr>
          <w:trHeight w:val="855"/>
        </w:trPr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AFFA6B1" w14:textId="77777777" w:rsidR="001D1D5F" w:rsidRDefault="001D1D5F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Borders>
              <w:top w:val="nil"/>
            </w:tcBorders>
          </w:tcPr>
          <w:p w14:paraId="4DC43771" w14:textId="2C022BDB" w:rsidR="001D1D5F" w:rsidRDefault="001D1D5F" w:rsidP="001D1D5F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Interpret technical and functional information and data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2A399D" w14:textId="0C3B1ADE" w:rsidR="00871998" w:rsidRDefault="00F5536C" w:rsidP="001D1D5F">
            <w:pPr>
              <w:pStyle w:val="Normalbulletlist"/>
            </w:pPr>
            <w:r>
              <w:t xml:space="preserve">Learners </w:t>
            </w:r>
            <w:r w:rsidR="00C51E22">
              <w:t>to</w:t>
            </w:r>
            <w:r>
              <w:t xml:space="preserve"> collaborate in small groups and discuss their own workplace experience of how to interpret some of the following documentation</w:t>
            </w:r>
            <w:r w:rsidR="00F754CA">
              <w:t>:</w:t>
            </w:r>
          </w:p>
          <w:p w14:paraId="5E1FCC88" w14:textId="4A57A111" w:rsidR="00871998" w:rsidRDefault="00F5536C" w:rsidP="00871998">
            <w:pPr>
              <w:pStyle w:val="Normalbulletsublist"/>
            </w:pPr>
            <w:r>
              <w:t>manufacturer/supplier information and data</w:t>
            </w:r>
          </w:p>
          <w:p w14:paraId="7CA2B958" w14:textId="66DE945C" w:rsidR="00871998" w:rsidRDefault="00F5536C" w:rsidP="00871998">
            <w:pPr>
              <w:pStyle w:val="Normalbulletsublist"/>
            </w:pPr>
            <w:r>
              <w:t>materials</w:t>
            </w:r>
          </w:p>
          <w:p w14:paraId="5B8AE0AE" w14:textId="6CC29E16" w:rsidR="00871998" w:rsidRDefault="00F5536C" w:rsidP="00871998">
            <w:pPr>
              <w:pStyle w:val="Normalbulletsublist"/>
            </w:pPr>
            <w:r>
              <w:t>components</w:t>
            </w:r>
          </w:p>
          <w:p w14:paraId="476E9606" w14:textId="4E4C360D" w:rsidR="00871998" w:rsidRDefault="00F5536C" w:rsidP="00871998">
            <w:pPr>
              <w:pStyle w:val="Normalbulletsublist"/>
            </w:pPr>
            <w:r>
              <w:t>equipment</w:t>
            </w:r>
          </w:p>
          <w:p w14:paraId="1D5AA049" w14:textId="278DA9D3" w:rsidR="00871998" w:rsidRDefault="00F5536C" w:rsidP="00871998">
            <w:pPr>
              <w:pStyle w:val="Normalbulletsublist"/>
            </w:pPr>
            <w:r>
              <w:t>information from their employing organisation</w:t>
            </w:r>
          </w:p>
          <w:p w14:paraId="4AF7CBA7" w14:textId="4B6CE69B" w:rsidR="00871998" w:rsidRDefault="00F5536C" w:rsidP="00871998">
            <w:pPr>
              <w:pStyle w:val="Normalbulletsublist"/>
            </w:pPr>
            <w:r>
              <w:t>installation specifications</w:t>
            </w:r>
          </w:p>
          <w:p w14:paraId="579BE666" w14:textId="0A7FE86D" w:rsidR="00871998" w:rsidRDefault="00F5536C" w:rsidP="00871998">
            <w:pPr>
              <w:pStyle w:val="Normalbulletsublist"/>
            </w:pPr>
            <w:r>
              <w:t>client/customer specifications</w:t>
            </w:r>
          </w:p>
          <w:p w14:paraId="219165DC" w14:textId="0AA9A06E" w:rsidR="00871998" w:rsidRDefault="00F5536C" w:rsidP="00871998">
            <w:pPr>
              <w:pStyle w:val="Normalbulletsublist"/>
            </w:pPr>
            <w:r>
              <w:t>specifications</w:t>
            </w:r>
          </w:p>
          <w:p w14:paraId="429EBD44" w14:textId="77777777" w:rsidR="00871998" w:rsidRDefault="00F5536C" w:rsidP="00871998">
            <w:pPr>
              <w:pStyle w:val="Normalbulletsublist"/>
            </w:pPr>
            <w:r>
              <w:t xml:space="preserve">drawings and </w:t>
            </w:r>
          </w:p>
          <w:p w14:paraId="7B8FCC6E" w14:textId="287C4639" w:rsidR="001D1D5F" w:rsidRPr="00CD50CC" w:rsidRDefault="00F5536C" w:rsidP="00871998">
            <w:pPr>
              <w:pStyle w:val="Normalbulletsublist"/>
            </w:pPr>
            <w:r>
              <w:t>diagrams</w:t>
            </w:r>
            <w:r w:rsidR="00871998">
              <w:t>.</w:t>
            </w:r>
          </w:p>
        </w:tc>
      </w:tr>
      <w:tr w:rsidR="00A57CD4" w:rsidRPr="00D979B1" w14:paraId="18580567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A3FA3AF" w14:textId="000306E1" w:rsidR="00A57CD4" w:rsidRPr="00CD50CC" w:rsidRDefault="001D1D5F" w:rsidP="00A57CD4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procedures for supplying technical and functional information to relevant people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6774DA4" w14:textId="498F4AB6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stakeholders that require technical and functional information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26AAAE8" w14:textId="14CE7EB6" w:rsidR="00A57CD4" w:rsidRDefault="00F5536C" w:rsidP="00EF2E7B">
            <w:pPr>
              <w:pStyle w:val="Normalbulletlist"/>
            </w:pPr>
            <w:r>
              <w:t>Learners to produce a mind map of the stakeholders</w:t>
            </w:r>
            <w:r w:rsidR="00DB4716">
              <w:t xml:space="preserve"> who would be involved with a small project relevant to their chosen pathway</w:t>
            </w:r>
            <w:r w:rsidR="008A0E8B">
              <w:t>.</w:t>
            </w:r>
          </w:p>
          <w:p w14:paraId="0DFD5D40" w14:textId="77777777" w:rsidR="008A0E8B" w:rsidRDefault="00DB4716" w:rsidP="00EF2E7B">
            <w:pPr>
              <w:pStyle w:val="Normalbulletlist"/>
            </w:pPr>
            <w:r>
              <w:t xml:space="preserve">Learners to collaborate and discuss their mind maps to include stakeholders such as: </w:t>
            </w:r>
          </w:p>
          <w:p w14:paraId="2E41D354" w14:textId="6AD9C53E" w:rsidR="008A0E8B" w:rsidRDefault="00DB4716" w:rsidP="008A0E8B">
            <w:pPr>
              <w:pStyle w:val="Normalbulletsublist"/>
            </w:pPr>
            <w:r>
              <w:t>clients</w:t>
            </w:r>
          </w:p>
          <w:p w14:paraId="10E3D5F1" w14:textId="46CDC504" w:rsidR="008A0E8B" w:rsidRDefault="00DB4716" w:rsidP="008A0E8B">
            <w:pPr>
              <w:pStyle w:val="Normalbulletsublist"/>
            </w:pPr>
            <w:r>
              <w:t>customers</w:t>
            </w:r>
          </w:p>
          <w:p w14:paraId="1DC7BEA6" w14:textId="627B6D4A" w:rsidR="008A0E8B" w:rsidRDefault="00DB4716" w:rsidP="008A0E8B">
            <w:pPr>
              <w:pStyle w:val="Normalbulletsublist"/>
            </w:pPr>
            <w:r>
              <w:t>major contractors</w:t>
            </w:r>
          </w:p>
          <w:p w14:paraId="26F6DCBE" w14:textId="16AFC091" w:rsidR="008A0E8B" w:rsidRDefault="00DB4716" w:rsidP="008A0E8B">
            <w:pPr>
              <w:pStyle w:val="Normalbulletsublist"/>
            </w:pPr>
            <w:r>
              <w:t xml:space="preserve">other services </w:t>
            </w:r>
          </w:p>
          <w:p w14:paraId="29EA309F" w14:textId="677F38B7" w:rsidR="00DB4716" w:rsidRPr="00CD50CC" w:rsidRDefault="00DB4716" w:rsidP="008A0E8B">
            <w:pPr>
              <w:pStyle w:val="Normalbulletsublist"/>
            </w:pPr>
            <w:r>
              <w:t>site managers</w:t>
            </w:r>
            <w:r w:rsidR="008A0E8B">
              <w:t>.</w:t>
            </w:r>
          </w:p>
        </w:tc>
      </w:tr>
      <w:tr w:rsidR="00A57CD4" w:rsidRPr="00D979B1" w14:paraId="077DB351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3D3F865" w14:textId="1C272117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5ECE21A" w14:textId="48D5A0D8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limits of responsibility of own job role with respect to supplying technical and functional information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BAAEE1E" w14:textId="2B92EEFC" w:rsidR="00DB4716" w:rsidRPr="00CD50CC" w:rsidRDefault="00DB4716" w:rsidP="000159FD">
            <w:pPr>
              <w:pStyle w:val="Normalbulletlist"/>
            </w:pPr>
            <w:r>
              <w:t>Learners to research and understand the limits of their current job role and to understand when to allow line manager/supervisor to act</w:t>
            </w:r>
            <w:r w:rsidR="00C51E22">
              <w:t>.</w:t>
            </w:r>
          </w:p>
        </w:tc>
      </w:tr>
      <w:tr w:rsidR="00A57CD4" w:rsidRPr="00D979B1" w14:paraId="19986D7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31D0FAF4" w14:textId="17759884" w:rsidR="00A57CD4" w:rsidRPr="00CD50CC" w:rsidRDefault="00A57CD4" w:rsidP="001D1D5F">
            <w:pPr>
              <w:pStyle w:val="ListParagraph"/>
              <w:adjustRightInd w:val="0"/>
              <w:spacing w:line="240" w:lineRule="auto"/>
              <w:ind w:left="36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9382E18" w14:textId="1869C9FD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of providing technical and functional information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B4D2530" w14:textId="4116D36B" w:rsidR="00A57CD4" w:rsidRPr="00CD50CC" w:rsidRDefault="00DB4716" w:rsidP="00EF2E7B">
            <w:pPr>
              <w:pStyle w:val="Normalbulletlist"/>
            </w:pPr>
            <w:r>
              <w:t>Learners to collaborate and discuss their workplace experience of their own organisation</w:t>
            </w:r>
            <w:r w:rsidR="00BB26B8">
              <w:t>’</w:t>
            </w:r>
            <w:r>
              <w:t>s methods of providing technical and functional information</w:t>
            </w:r>
            <w:r w:rsidR="00C51E22">
              <w:t>.</w:t>
            </w:r>
          </w:p>
        </w:tc>
      </w:tr>
      <w:tr w:rsidR="001D1D5F" w:rsidRPr="00D979B1" w14:paraId="3E83D1F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6109D84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2D6C14B" w14:textId="77777777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importance of ensuring that:</w:t>
            </w:r>
          </w:p>
          <w:p w14:paraId="4905F0C4" w14:textId="77777777" w:rsidR="001D1D5F" w:rsidRDefault="001D1D5F" w:rsidP="001D1D5F">
            <w:pPr>
              <w:pStyle w:val="Normalbulletsublist"/>
            </w:pPr>
            <w:r>
              <w:t>information provided is accurate and complete</w:t>
            </w:r>
          </w:p>
          <w:p w14:paraId="1B205D07" w14:textId="77777777" w:rsidR="001D1D5F" w:rsidRDefault="001D1D5F" w:rsidP="001D1D5F">
            <w:pPr>
              <w:pStyle w:val="Normalbulletsublist"/>
            </w:pPr>
            <w:r>
              <w:t>information is provided clearly, courteously, and professionally</w:t>
            </w:r>
          </w:p>
          <w:p w14:paraId="19CE9976" w14:textId="77777777" w:rsidR="001D1D5F" w:rsidRDefault="001D1D5F" w:rsidP="001D1D5F">
            <w:pPr>
              <w:pStyle w:val="Normalbulletsublist"/>
            </w:pPr>
            <w:r>
              <w:t>copies of information provided are retained</w:t>
            </w:r>
          </w:p>
          <w:p w14:paraId="2677D0B5" w14:textId="24AFEFAC" w:rsidR="001D1D5F" w:rsidRDefault="001D1D5F" w:rsidP="001D1D5F">
            <w:pPr>
              <w:pStyle w:val="Normalbulletsublist"/>
            </w:pPr>
            <w:r>
              <w:lastRenderedPageBreak/>
              <w:t>the installation, on completion, functions in accordance with the specification, is safe and complies with industry standards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56B90F3B" w14:textId="77777777" w:rsidR="00035692" w:rsidRDefault="00DB4716" w:rsidP="00035692">
            <w:pPr>
              <w:pStyle w:val="Normalbulletlist"/>
            </w:pPr>
            <w:r>
              <w:lastRenderedPageBreak/>
              <w:t>Learners to collaborate and discuss their workplace experience of their own organisation</w:t>
            </w:r>
            <w:r w:rsidR="00BB26B8">
              <w:t>’</w:t>
            </w:r>
            <w:r>
              <w:t>s methods and practice to ensure that</w:t>
            </w:r>
            <w:r w:rsidR="00035692">
              <w:t>:</w:t>
            </w:r>
          </w:p>
          <w:p w14:paraId="4CD654D5" w14:textId="24B79A2F" w:rsidR="00035692" w:rsidRDefault="00DB4716" w:rsidP="003F493D">
            <w:pPr>
              <w:pStyle w:val="Normalbulletsublist"/>
            </w:pPr>
            <w:r>
              <w:t>information provided is accurate and complete</w:t>
            </w:r>
          </w:p>
          <w:p w14:paraId="5E4CBF36" w14:textId="2997BDA6" w:rsidR="00035692" w:rsidRDefault="00DB4716" w:rsidP="003F493D">
            <w:pPr>
              <w:pStyle w:val="Normalbulletsublist"/>
            </w:pPr>
            <w:r>
              <w:t>information is provided clearly, courteously and professionally</w:t>
            </w:r>
          </w:p>
          <w:p w14:paraId="4126C54A" w14:textId="435A10C0" w:rsidR="00035692" w:rsidRDefault="00DB4716" w:rsidP="003F493D">
            <w:pPr>
              <w:pStyle w:val="Normalbulletsublist"/>
            </w:pPr>
            <w:r>
              <w:t>copies of information provided are retained</w:t>
            </w:r>
          </w:p>
          <w:p w14:paraId="41C40EBC" w14:textId="77823897" w:rsidR="00035692" w:rsidRDefault="00DB4716" w:rsidP="003F493D">
            <w:pPr>
              <w:pStyle w:val="Normalbulletsublist"/>
            </w:pPr>
            <w:r>
              <w:t xml:space="preserve">the </w:t>
            </w:r>
            <w:r w:rsidR="00315BA4">
              <w:t xml:space="preserve">completed </w:t>
            </w:r>
            <w:r>
              <w:t>installation</w:t>
            </w:r>
            <w:r w:rsidR="00F5720D">
              <w:t xml:space="preserve"> </w:t>
            </w:r>
            <w:r>
              <w:t>functions in accordance with the specification</w:t>
            </w:r>
          </w:p>
          <w:p w14:paraId="4EB0BD8F" w14:textId="614DB177" w:rsidR="001D1D5F" w:rsidRDefault="00035692" w:rsidP="003F493D">
            <w:pPr>
              <w:pStyle w:val="Normalbulletsublist"/>
            </w:pPr>
            <w:r>
              <w:t xml:space="preserve">the completed installation </w:t>
            </w:r>
            <w:r w:rsidR="00DB4716">
              <w:t>is safe and complies with industry standards</w:t>
            </w:r>
            <w:r w:rsidR="00BB26B8">
              <w:t>.</w:t>
            </w:r>
          </w:p>
          <w:p w14:paraId="5D8E7DFA" w14:textId="2A0AB1AE" w:rsidR="00AE23BF" w:rsidRPr="00CD50CC" w:rsidRDefault="00AE23BF" w:rsidP="001D1D5F">
            <w:pPr>
              <w:pStyle w:val="Normalbulletlist"/>
            </w:pPr>
            <w:r>
              <w:lastRenderedPageBreak/>
              <w:t xml:space="preserve">Learners to engage in a role play scenario of a task to highlight the use of the above </w:t>
            </w:r>
            <w:r w:rsidR="00F523C4">
              <w:t>workplace practices</w:t>
            </w:r>
            <w:r w:rsidR="00BB26B8">
              <w:t>.</w:t>
            </w:r>
          </w:p>
        </w:tc>
      </w:tr>
      <w:tr w:rsidR="00A57CD4" w:rsidRPr="00D979B1" w14:paraId="762C8974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3CBC29B" w14:textId="0A15B856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0AF56743" w14:textId="3EB2056D" w:rsidR="00A57CD4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for checking that relevant persons have an adequate understanding of the technical and non-technical information provided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14BD571" w14:textId="3591FB28" w:rsidR="00A57CD4" w:rsidRDefault="00AE23BF" w:rsidP="00EF2E7B">
            <w:pPr>
              <w:pStyle w:val="Normalbulletlist"/>
            </w:pPr>
            <w:r>
              <w:t>Learners to collaborate and discuss their workplace experience of their organisation</w:t>
            </w:r>
            <w:r w:rsidR="00727ADC">
              <w:t>’</w:t>
            </w:r>
            <w:r>
              <w:t>s methods and practice</w:t>
            </w:r>
            <w:r w:rsidR="00F523C4">
              <w:t>s</w:t>
            </w:r>
            <w:r>
              <w:t xml:space="preserve"> to ensure that relevant persons have an adequate understanding of the technical and non-technical information provided</w:t>
            </w:r>
            <w:r w:rsidR="00507732">
              <w:t>.</w:t>
            </w:r>
          </w:p>
          <w:p w14:paraId="56CB6660" w14:textId="59C202A6" w:rsidR="001F5081" w:rsidRDefault="00AE23BF" w:rsidP="00EF2E7B">
            <w:pPr>
              <w:pStyle w:val="Normalbulletlist"/>
            </w:pPr>
            <w:r>
              <w:t xml:space="preserve">Learners to research </w:t>
            </w:r>
            <w:r w:rsidR="008558DE">
              <w:t xml:space="preserve">techniques such as: </w:t>
            </w:r>
          </w:p>
          <w:p w14:paraId="68A5A3C5" w14:textId="54ED83F2" w:rsidR="001F5081" w:rsidRDefault="008558DE" w:rsidP="00F57938">
            <w:pPr>
              <w:pStyle w:val="Normalbulletsublist"/>
            </w:pPr>
            <w:r>
              <w:t>assumption of baseline knowledg</w:t>
            </w:r>
            <w:r w:rsidR="0072439E">
              <w:t>e</w:t>
            </w:r>
          </w:p>
          <w:p w14:paraId="59B8E37F" w14:textId="24FC60C5" w:rsidR="001F5081" w:rsidRDefault="008558DE" w:rsidP="00F57938">
            <w:pPr>
              <w:pStyle w:val="Normalbulletsublist"/>
            </w:pPr>
            <w:r>
              <w:t xml:space="preserve">impact </w:t>
            </w:r>
            <w:proofErr w:type="gramStart"/>
            <w:r>
              <w:t>not process</w:t>
            </w:r>
            <w:proofErr w:type="gramEnd"/>
            <w:r>
              <w:t xml:space="preserve"> </w:t>
            </w:r>
          </w:p>
          <w:p w14:paraId="03873C9A" w14:textId="3588BC9F" w:rsidR="00AE23BF" w:rsidRPr="00CD50CC" w:rsidRDefault="008558DE" w:rsidP="00F57938">
            <w:pPr>
              <w:pStyle w:val="Normalbulletsublist"/>
            </w:pPr>
            <w:r>
              <w:t>illustrate to educate</w:t>
            </w:r>
            <w:r w:rsidR="00BD0D10">
              <w:t>.</w:t>
            </w:r>
          </w:p>
        </w:tc>
      </w:tr>
      <w:tr w:rsidR="00A57CD4" w:rsidRPr="00D979B1" w14:paraId="2DF4DFA8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6F7632F3" w14:textId="4D7795B9" w:rsidR="00A57CD4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  <w:r>
              <w:t>Understand the importance of customer service in relation to installation and/or maintenance activity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453D413F" w:rsidR="00A57CD4" w:rsidRPr="00CD50CC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methods and organisational procedures for establishing positive relations with clients and customers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9C1BF7A" w14:textId="555D80E5" w:rsidR="00A57CD4" w:rsidRDefault="008558DE" w:rsidP="00C51E22">
            <w:pPr>
              <w:pStyle w:val="Normalbulletlist"/>
            </w:pPr>
            <w:r>
              <w:t>Learners to collaborate and discuss their workplace experience of their organisation</w:t>
            </w:r>
            <w:r w:rsidR="00BD0D10">
              <w:t>’</w:t>
            </w:r>
            <w:r>
              <w:t>s methods and practice</w:t>
            </w:r>
            <w:r w:rsidR="00BD0D10">
              <w:t>s</w:t>
            </w:r>
            <w:r>
              <w:t xml:space="preserve"> to ensure </w:t>
            </w:r>
            <w:r w:rsidR="00490F7E">
              <w:t xml:space="preserve">that the </w:t>
            </w:r>
            <w:r>
              <w:t xml:space="preserve">procedures in place work </w:t>
            </w:r>
            <w:r w:rsidR="00BD0D10">
              <w:t xml:space="preserve">to </w:t>
            </w:r>
            <w:r>
              <w:t>establish positive relations with clients and customers</w:t>
            </w:r>
            <w:r w:rsidR="00C51E22">
              <w:t>.</w:t>
            </w:r>
          </w:p>
          <w:p w14:paraId="523CBA5C" w14:textId="515500F6" w:rsidR="008558DE" w:rsidRDefault="008558DE" w:rsidP="00C85C02">
            <w:pPr>
              <w:pStyle w:val="Normalbulletlist"/>
            </w:pPr>
            <w:r>
              <w:t>Learners to work in small groups to create a mind map o</w:t>
            </w:r>
            <w:r w:rsidR="00EA31CB">
              <w:t>f</w:t>
            </w:r>
            <w:r>
              <w:t xml:space="preserve"> the methods and organisational procedures for establishing positive relations with clients and customers</w:t>
            </w:r>
            <w:r w:rsidR="00C51E22">
              <w:t>.</w:t>
            </w:r>
          </w:p>
          <w:p w14:paraId="05948667" w14:textId="25464059" w:rsidR="008558DE" w:rsidRPr="00CD50CC" w:rsidRDefault="008558DE" w:rsidP="00C85C02">
            <w:pPr>
              <w:pStyle w:val="Normalbulletlist"/>
            </w:pPr>
            <w:r>
              <w:t>Learners to discuss and dissect their mind maps in group presentations</w:t>
            </w:r>
            <w:r w:rsidR="00C51E22">
              <w:t>.</w:t>
            </w:r>
          </w:p>
        </w:tc>
      </w:tr>
      <w:tr w:rsidR="001D1D5F" w:rsidRPr="00D979B1" w14:paraId="61BF6C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039D6A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8BA9EFB" w14:textId="4F9A2941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 xml:space="preserve">The working requirements and practices of the clients and customers in the working environment where </w:t>
            </w:r>
            <w:r>
              <w:lastRenderedPageBreak/>
              <w:t>the installation and/or maintenance activity is taking place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179ACB" w14:textId="315654BE" w:rsidR="001A20C2" w:rsidRDefault="00490F7E" w:rsidP="00C51E22">
            <w:pPr>
              <w:pStyle w:val="Normalbulletlist"/>
            </w:pPr>
            <w:r>
              <w:lastRenderedPageBreak/>
              <w:t>Learners to discuss their workplace experience of their own organisation</w:t>
            </w:r>
            <w:r w:rsidR="00DB198B">
              <w:t>’</w:t>
            </w:r>
            <w:r>
              <w:t>s methods and practice</w:t>
            </w:r>
            <w:r w:rsidR="00DB198B">
              <w:t>s</w:t>
            </w:r>
            <w:r w:rsidR="001A20C2">
              <w:t>.</w:t>
            </w:r>
          </w:p>
          <w:p w14:paraId="5A71FB38" w14:textId="5EC8E82F" w:rsidR="00490F7E" w:rsidRPr="00CD50CC" w:rsidRDefault="001A20C2" w:rsidP="00C51E22">
            <w:pPr>
              <w:pStyle w:val="Normalbulletlist"/>
            </w:pPr>
            <w:r>
              <w:lastRenderedPageBreak/>
              <w:t xml:space="preserve">Learners to </w:t>
            </w:r>
            <w:r w:rsidR="00490F7E">
              <w:t xml:space="preserve">ensure that the working requirements and practices of the clients and customers in the working environment </w:t>
            </w:r>
            <w:r>
              <w:t xml:space="preserve">for </w:t>
            </w:r>
            <w:r w:rsidR="00490F7E">
              <w:t xml:space="preserve">the installation and/or maintenance activity </w:t>
            </w:r>
            <w:r>
              <w:t xml:space="preserve">are </w:t>
            </w:r>
            <w:r w:rsidR="002434BD">
              <w:t>met</w:t>
            </w:r>
            <w:r w:rsidR="00C51E22">
              <w:t>.</w:t>
            </w:r>
          </w:p>
        </w:tc>
      </w:tr>
      <w:tr w:rsidR="001D1D5F" w:rsidRPr="00D979B1" w14:paraId="5D50DB95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1F2B0554" w14:textId="77777777" w:rsidR="001D1D5F" w:rsidRPr="00CD50CC" w:rsidRDefault="001D1D5F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07818BE" w14:textId="77AC3DC9" w:rsidR="001D1D5F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opportunities and regulations that affect the way that technical and functional information is delivered to clients and customers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71712E" w14:textId="2CD66F06" w:rsidR="00D505A0" w:rsidRDefault="00490F7E" w:rsidP="001D1D5F">
            <w:pPr>
              <w:pStyle w:val="Normalbulletlist"/>
            </w:pPr>
            <w:r>
              <w:t xml:space="preserve">Learners </w:t>
            </w:r>
            <w:r w:rsidR="00C51E22">
              <w:t>to</w:t>
            </w:r>
            <w:r>
              <w:t xml:space="preserve"> research and understand the main requirements to process technical and functional information in compliance with the key principles of the Data Protection Act </w:t>
            </w:r>
            <w:r w:rsidR="007350D0">
              <w:t xml:space="preserve">2018 </w:t>
            </w:r>
            <w:r>
              <w:t>(the UK’s implementation of the General Data Protection Regulation (GDPR))</w:t>
            </w:r>
            <w:r w:rsidR="00FC7BD0">
              <w:t>.</w:t>
            </w:r>
          </w:p>
          <w:p w14:paraId="162D0A24" w14:textId="6CEBCA6B" w:rsidR="001D1D5F" w:rsidRDefault="00D505A0" w:rsidP="001D1D5F">
            <w:pPr>
              <w:pStyle w:val="Normalbulletlist"/>
            </w:pPr>
            <w:r>
              <w:t>Learners to understand</w:t>
            </w:r>
            <w:r w:rsidR="00490F7E">
              <w:t xml:space="preserve"> the clients</w:t>
            </w:r>
            <w:r w:rsidR="00FC7BD0">
              <w:t>’</w:t>
            </w:r>
            <w:r w:rsidR="00490F7E">
              <w:t>/customers</w:t>
            </w:r>
            <w:r w:rsidR="00FC7BD0">
              <w:t>’</w:t>
            </w:r>
            <w:r w:rsidR="00490F7E">
              <w:t xml:space="preserve"> basic rights under the Consumer Rights Act</w:t>
            </w:r>
            <w:r>
              <w:t xml:space="preserve"> </w:t>
            </w:r>
            <w:r w:rsidR="00537FC4">
              <w:t xml:space="preserve">2015 </w:t>
            </w:r>
            <w:r>
              <w:t>which covers</w:t>
            </w:r>
            <w:r w:rsidR="00490F7E">
              <w:t xml:space="preserve"> </w:t>
            </w:r>
            <w:r>
              <w:t>t</w:t>
            </w:r>
            <w:r w:rsidR="00490F7E">
              <w:t>he main points of the Equality Act</w:t>
            </w:r>
            <w:r w:rsidR="00AF3289">
              <w:t xml:space="preserve"> 2010</w:t>
            </w:r>
            <w:r w:rsidR="00490F7E">
              <w:t>.</w:t>
            </w:r>
          </w:p>
          <w:p w14:paraId="2A5A17D4" w14:textId="2DF31196" w:rsidR="00490F7E" w:rsidRPr="00CD50CC" w:rsidRDefault="00490F7E" w:rsidP="001D1D5F">
            <w:pPr>
              <w:pStyle w:val="Normalbulletlist"/>
            </w:pPr>
            <w:r>
              <w:t>Learners to collaborate and discuss their workplace experience of their own organisation</w:t>
            </w:r>
            <w:r w:rsidR="008B6186">
              <w:t>’</w:t>
            </w:r>
            <w:r>
              <w:t>s methods and practice</w:t>
            </w:r>
            <w:r w:rsidR="008B6186">
              <w:t>s</w:t>
            </w:r>
            <w:r>
              <w:t xml:space="preserve"> to ensure that the technical and functional information is delivered to clients and customers</w:t>
            </w:r>
            <w:r w:rsidR="008B6186">
              <w:t>.</w:t>
            </w:r>
          </w:p>
        </w:tc>
      </w:tr>
      <w:tr w:rsidR="00A57CD4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71849B9C" w:rsidR="00A57CD4" w:rsidRPr="00CD50CC" w:rsidRDefault="00A57CD4" w:rsidP="00636A01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1FC49782" w:rsidR="00A57CD4" w:rsidRPr="00CD50CC" w:rsidRDefault="001D1D5F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clients' and customers' rights including any contractual agreements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722C814" w14:textId="7173B4C7" w:rsidR="00A57CD4" w:rsidRDefault="00490F7E" w:rsidP="00C85C02">
            <w:pPr>
              <w:pStyle w:val="Normalbulletlist"/>
            </w:pPr>
            <w:r>
              <w:t>Learners to collaborate and discuss their workplace experience of their own organisation</w:t>
            </w:r>
            <w:r w:rsidR="00083ED7">
              <w:t>’</w:t>
            </w:r>
            <w:r>
              <w:t>s methods and practice</w:t>
            </w:r>
            <w:r w:rsidR="00083ED7">
              <w:t>s</w:t>
            </w:r>
            <w:r>
              <w:t xml:space="preserve"> to ensure that the</w:t>
            </w:r>
            <w:r w:rsidR="00083ED7">
              <w:t>y understand the</w:t>
            </w:r>
            <w:r w:rsidR="006B7E00">
              <w:t xml:space="preserve"> clients' and customers' rights</w:t>
            </w:r>
            <w:r w:rsidR="00083ED7">
              <w:t>,</w:t>
            </w:r>
            <w:r w:rsidR="006B7E00">
              <w:t xml:space="preserve"> including any contractual agreements</w:t>
            </w:r>
            <w:r w:rsidR="00083ED7">
              <w:t>.</w:t>
            </w:r>
          </w:p>
          <w:p w14:paraId="21CF31F4" w14:textId="0E47A25A" w:rsidR="006B7E00" w:rsidRPr="00CD50CC" w:rsidRDefault="006B7E00" w:rsidP="00C85C02">
            <w:pPr>
              <w:pStyle w:val="Normalbulletlist"/>
            </w:pPr>
            <w:r>
              <w:t>Learners to research and understand contractual agreements between the clients and customers</w:t>
            </w:r>
            <w:r w:rsidR="002178FC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380A" w14:textId="77777777" w:rsidR="00BE3A8F" w:rsidRDefault="00BE3A8F">
      <w:pPr>
        <w:spacing w:before="0" w:after="0"/>
      </w:pPr>
      <w:r>
        <w:separator/>
      </w:r>
    </w:p>
  </w:endnote>
  <w:endnote w:type="continuationSeparator" w:id="0">
    <w:p w14:paraId="7DA90693" w14:textId="77777777" w:rsidR="00BE3A8F" w:rsidRDefault="00BE3A8F">
      <w:pPr>
        <w:spacing w:before="0" w:after="0"/>
      </w:pPr>
      <w:r>
        <w:continuationSeparator/>
      </w:r>
    </w:p>
  </w:endnote>
  <w:endnote w:type="continuationNotice" w:id="1">
    <w:p w14:paraId="16A3D1B7" w14:textId="77777777" w:rsidR="00BE3A8F" w:rsidRDefault="00BE3A8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D8393" w14:textId="77777777" w:rsidR="00BE3A8F" w:rsidRDefault="00BE3A8F">
      <w:pPr>
        <w:spacing w:before="0" w:after="0"/>
      </w:pPr>
      <w:r>
        <w:separator/>
      </w:r>
    </w:p>
  </w:footnote>
  <w:footnote w:type="continuationSeparator" w:id="0">
    <w:p w14:paraId="498E7C45" w14:textId="77777777" w:rsidR="00BE3A8F" w:rsidRDefault="00BE3A8F">
      <w:pPr>
        <w:spacing w:before="0" w:after="0"/>
      </w:pPr>
      <w:r>
        <w:continuationSeparator/>
      </w:r>
    </w:p>
  </w:footnote>
  <w:footnote w:type="continuationNotice" w:id="1">
    <w:p w14:paraId="5AD3DA31" w14:textId="77777777" w:rsidR="00BE3A8F" w:rsidRDefault="00BE3A8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798C640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7216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515462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7A72C70D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877BEB" id="Straight Connector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515462">
      <w:rPr>
        <w:color w:val="0077E3"/>
        <w:sz w:val="24"/>
        <w:szCs w:val="28"/>
      </w:rPr>
      <w:t>3</w:t>
    </w:r>
    <w:r w:rsidR="0090187A">
      <w:rPr>
        <w:color w:val="0077E3"/>
        <w:sz w:val="24"/>
        <w:szCs w:val="28"/>
      </w:rPr>
      <w:t>1</w:t>
    </w:r>
    <w:r w:rsidR="00F262DE">
      <w:rPr>
        <w:color w:val="0077E3"/>
        <w:sz w:val="24"/>
        <w:szCs w:val="28"/>
      </w:rPr>
      <w:t>3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7077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6EC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DFEB6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C47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26A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8818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52B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F22A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E325343"/>
    <w:multiLevelType w:val="multilevel"/>
    <w:tmpl w:val="0809001F"/>
    <w:numStyleLink w:val="111111"/>
  </w:abstractNum>
  <w:abstractNum w:abstractNumId="35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5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4"/>
  </w:num>
  <w:num w:numId="26">
    <w:abstractNumId w:val="24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4527"/>
    <w:rsid w:val="000159FD"/>
    <w:rsid w:val="000279C8"/>
    <w:rsid w:val="000355F3"/>
    <w:rsid w:val="00035692"/>
    <w:rsid w:val="00041DCF"/>
    <w:rsid w:val="000462D0"/>
    <w:rsid w:val="000464A1"/>
    <w:rsid w:val="00052D44"/>
    <w:rsid w:val="000625C1"/>
    <w:rsid w:val="00077B8F"/>
    <w:rsid w:val="00083ED7"/>
    <w:rsid w:val="0008737F"/>
    <w:rsid w:val="000A7B23"/>
    <w:rsid w:val="000B475D"/>
    <w:rsid w:val="000D7197"/>
    <w:rsid w:val="000E3286"/>
    <w:rsid w:val="000E7C90"/>
    <w:rsid w:val="000F1280"/>
    <w:rsid w:val="000F364F"/>
    <w:rsid w:val="00100DE4"/>
    <w:rsid w:val="00101FC3"/>
    <w:rsid w:val="00102645"/>
    <w:rsid w:val="00103400"/>
    <w:rsid w:val="00106031"/>
    <w:rsid w:val="00106685"/>
    <w:rsid w:val="00114C7A"/>
    <w:rsid w:val="00126511"/>
    <w:rsid w:val="00130DF7"/>
    <w:rsid w:val="00134922"/>
    <w:rsid w:val="00143276"/>
    <w:rsid w:val="00153EEC"/>
    <w:rsid w:val="0017259D"/>
    <w:rsid w:val="001759B2"/>
    <w:rsid w:val="00183375"/>
    <w:rsid w:val="00194C52"/>
    <w:rsid w:val="00195896"/>
    <w:rsid w:val="00197A45"/>
    <w:rsid w:val="001A20C2"/>
    <w:rsid w:val="001A7852"/>
    <w:rsid w:val="001A7C68"/>
    <w:rsid w:val="001B4FD3"/>
    <w:rsid w:val="001C0CA5"/>
    <w:rsid w:val="001C1968"/>
    <w:rsid w:val="001C72F7"/>
    <w:rsid w:val="001D1D5F"/>
    <w:rsid w:val="001D2C30"/>
    <w:rsid w:val="001E1554"/>
    <w:rsid w:val="001E6D3F"/>
    <w:rsid w:val="001F5081"/>
    <w:rsid w:val="001F60AD"/>
    <w:rsid w:val="00204B0D"/>
    <w:rsid w:val="00205182"/>
    <w:rsid w:val="002070CC"/>
    <w:rsid w:val="002178FC"/>
    <w:rsid w:val="00221F7F"/>
    <w:rsid w:val="002434BD"/>
    <w:rsid w:val="00273525"/>
    <w:rsid w:val="00285647"/>
    <w:rsid w:val="002A24D9"/>
    <w:rsid w:val="002A4F81"/>
    <w:rsid w:val="002D2938"/>
    <w:rsid w:val="002D44D0"/>
    <w:rsid w:val="002E4B7C"/>
    <w:rsid w:val="002F145D"/>
    <w:rsid w:val="002F2A70"/>
    <w:rsid w:val="00312073"/>
    <w:rsid w:val="00315BA4"/>
    <w:rsid w:val="00321A9E"/>
    <w:rsid w:val="00337DF5"/>
    <w:rsid w:val="00342F12"/>
    <w:rsid w:val="003553A4"/>
    <w:rsid w:val="003558D5"/>
    <w:rsid w:val="003729D3"/>
    <w:rsid w:val="00372FB3"/>
    <w:rsid w:val="00376CB6"/>
    <w:rsid w:val="00396404"/>
    <w:rsid w:val="003C415E"/>
    <w:rsid w:val="003F493D"/>
    <w:rsid w:val="0040327F"/>
    <w:rsid w:val="004057E7"/>
    <w:rsid w:val="0041389A"/>
    <w:rsid w:val="0045095C"/>
    <w:rsid w:val="004523E2"/>
    <w:rsid w:val="00457D67"/>
    <w:rsid w:val="0046039E"/>
    <w:rsid w:val="00464277"/>
    <w:rsid w:val="00466297"/>
    <w:rsid w:val="00490F7E"/>
    <w:rsid w:val="00494738"/>
    <w:rsid w:val="004A2268"/>
    <w:rsid w:val="004B6E5D"/>
    <w:rsid w:val="004C705A"/>
    <w:rsid w:val="004D0BA5"/>
    <w:rsid w:val="004E191A"/>
    <w:rsid w:val="00507732"/>
    <w:rsid w:val="00514DD2"/>
    <w:rsid w:val="00515462"/>
    <w:rsid w:val="00521951"/>
    <w:rsid w:val="00524839"/>
    <w:rsid w:val="005329BB"/>
    <w:rsid w:val="00537FC4"/>
    <w:rsid w:val="00552896"/>
    <w:rsid w:val="00564AED"/>
    <w:rsid w:val="0056783E"/>
    <w:rsid w:val="00570E11"/>
    <w:rsid w:val="00577ED7"/>
    <w:rsid w:val="0058088A"/>
    <w:rsid w:val="00582A25"/>
    <w:rsid w:val="00582E73"/>
    <w:rsid w:val="005A503B"/>
    <w:rsid w:val="005E5329"/>
    <w:rsid w:val="005F2754"/>
    <w:rsid w:val="00613AB3"/>
    <w:rsid w:val="0061455B"/>
    <w:rsid w:val="00626FFC"/>
    <w:rsid w:val="00635630"/>
    <w:rsid w:val="00636A01"/>
    <w:rsid w:val="00641F5D"/>
    <w:rsid w:val="00657E0F"/>
    <w:rsid w:val="00672BED"/>
    <w:rsid w:val="006808EB"/>
    <w:rsid w:val="00685E77"/>
    <w:rsid w:val="006B23A9"/>
    <w:rsid w:val="006B7E00"/>
    <w:rsid w:val="006C0843"/>
    <w:rsid w:val="006D32A6"/>
    <w:rsid w:val="006D4994"/>
    <w:rsid w:val="006D731C"/>
    <w:rsid w:val="006E315C"/>
    <w:rsid w:val="006E67F0"/>
    <w:rsid w:val="006E7C99"/>
    <w:rsid w:val="00702A28"/>
    <w:rsid w:val="00704B0B"/>
    <w:rsid w:val="007072B7"/>
    <w:rsid w:val="0071471E"/>
    <w:rsid w:val="00715647"/>
    <w:rsid w:val="0072439E"/>
    <w:rsid w:val="00727ADC"/>
    <w:rsid w:val="007317D2"/>
    <w:rsid w:val="00733A39"/>
    <w:rsid w:val="007350D0"/>
    <w:rsid w:val="00756D14"/>
    <w:rsid w:val="00767C9F"/>
    <w:rsid w:val="00772D58"/>
    <w:rsid w:val="00777D67"/>
    <w:rsid w:val="00784D07"/>
    <w:rsid w:val="00786E7D"/>
    <w:rsid w:val="0079118A"/>
    <w:rsid w:val="007A5093"/>
    <w:rsid w:val="007A693A"/>
    <w:rsid w:val="007B50CD"/>
    <w:rsid w:val="007D0058"/>
    <w:rsid w:val="008005D4"/>
    <w:rsid w:val="00801706"/>
    <w:rsid w:val="00811E84"/>
    <w:rsid w:val="00812680"/>
    <w:rsid w:val="00847CC6"/>
    <w:rsid w:val="00850408"/>
    <w:rsid w:val="008558DE"/>
    <w:rsid w:val="00857CF1"/>
    <w:rsid w:val="00871998"/>
    <w:rsid w:val="00880EAA"/>
    <w:rsid w:val="00885ED3"/>
    <w:rsid w:val="00886270"/>
    <w:rsid w:val="008A0E8B"/>
    <w:rsid w:val="008A30F5"/>
    <w:rsid w:val="008A31BC"/>
    <w:rsid w:val="008A347B"/>
    <w:rsid w:val="008A4FC4"/>
    <w:rsid w:val="008B030B"/>
    <w:rsid w:val="008B417F"/>
    <w:rsid w:val="008B6186"/>
    <w:rsid w:val="008C49CA"/>
    <w:rsid w:val="008D37DF"/>
    <w:rsid w:val="008E411D"/>
    <w:rsid w:val="008F2236"/>
    <w:rsid w:val="0090187A"/>
    <w:rsid w:val="00905483"/>
    <w:rsid w:val="00905996"/>
    <w:rsid w:val="009059C9"/>
    <w:rsid w:val="0094112A"/>
    <w:rsid w:val="00954ECD"/>
    <w:rsid w:val="00962BD3"/>
    <w:rsid w:val="009674DC"/>
    <w:rsid w:val="0098637D"/>
    <w:rsid w:val="009868CA"/>
    <w:rsid w:val="0098732F"/>
    <w:rsid w:val="0099094F"/>
    <w:rsid w:val="009A272A"/>
    <w:rsid w:val="009B0EE5"/>
    <w:rsid w:val="009B62B1"/>
    <w:rsid w:val="009B740D"/>
    <w:rsid w:val="009C0CB2"/>
    <w:rsid w:val="009D0107"/>
    <w:rsid w:val="009D274B"/>
    <w:rsid w:val="009D56CC"/>
    <w:rsid w:val="009E0787"/>
    <w:rsid w:val="009F1EE2"/>
    <w:rsid w:val="00A1277C"/>
    <w:rsid w:val="00A16377"/>
    <w:rsid w:val="00A20863"/>
    <w:rsid w:val="00A50FDB"/>
    <w:rsid w:val="00A57CD4"/>
    <w:rsid w:val="00A616D2"/>
    <w:rsid w:val="00A63F2B"/>
    <w:rsid w:val="00A70489"/>
    <w:rsid w:val="00A71800"/>
    <w:rsid w:val="00AA08E6"/>
    <w:rsid w:val="00AA66B6"/>
    <w:rsid w:val="00AB366F"/>
    <w:rsid w:val="00AB5875"/>
    <w:rsid w:val="00AC2878"/>
    <w:rsid w:val="00AC3BFD"/>
    <w:rsid w:val="00AC59B7"/>
    <w:rsid w:val="00AE23BF"/>
    <w:rsid w:val="00AE64CD"/>
    <w:rsid w:val="00AF03BF"/>
    <w:rsid w:val="00AF252C"/>
    <w:rsid w:val="00AF3289"/>
    <w:rsid w:val="00AF7A4F"/>
    <w:rsid w:val="00B016BE"/>
    <w:rsid w:val="00B0190D"/>
    <w:rsid w:val="00B039CD"/>
    <w:rsid w:val="00B13391"/>
    <w:rsid w:val="00B27B25"/>
    <w:rsid w:val="00B41D9F"/>
    <w:rsid w:val="00B66ECB"/>
    <w:rsid w:val="00B700C0"/>
    <w:rsid w:val="00B73C3E"/>
    <w:rsid w:val="00B74F03"/>
    <w:rsid w:val="00B752E1"/>
    <w:rsid w:val="00B772B2"/>
    <w:rsid w:val="00B93185"/>
    <w:rsid w:val="00B94630"/>
    <w:rsid w:val="00B966B9"/>
    <w:rsid w:val="00B9709E"/>
    <w:rsid w:val="00BB26B8"/>
    <w:rsid w:val="00BC28B4"/>
    <w:rsid w:val="00BD0D10"/>
    <w:rsid w:val="00BD12F2"/>
    <w:rsid w:val="00BD1647"/>
    <w:rsid w:val="00BD2993"/>
    <w:rsid w:val="00BD5BAD"/>
    <w:rsid w:val="00BE0E94"/>
    <w:rsid w:val="00BE3A8F"/>
    <w:rsid w:val="00BE7EE7"/>
    <w:rsid w:val="00BF0FE3"/>
    <w:rsid w:val="00BF20EA"/>
    <w:rsid w:val="00BF3408"/>
    <w:rsid w:val="00BF7512"/>
    <w:rsid w:val="00C269AC"/>
    <w:rsid w:val="00C344FE"/>
    <w:rsid w:val="00C51E22"/>
    <w:rsid w:val="00C573C2"/>
    <w:rsid w:val="00C629D1"/>
    <w:rsid w:val="00C6602A"/>
    <w:rsid w:val="00C82133"/>
    <w:rsid w:val="00C859F7"/>
    <w:rsid w:val="00C85C02"/>
    <w:rsid w:val="00CA4288"/>
    <w:rsid w:val="00CB165E"/>
    <w:rsid w:val="00CC1C2A"/>
    <w:rsid w:val="00CC265F"/>
    <w:rsid w:val="00CD50CC"/>
    <w:rsid w:val="00CE2315"/>
    <w:rsid w:val="00CF7F32"/>
    <w:rsid w:val="00D04BE6"/>
    <w:rsid w:val="00D129BC"/>
    <w:rsid w:val="00D14B60"/>
    <w:rsid w:val="00D33FC2"/>
    <w:rsid w:val="00D34604"/>
    <w:rsid w:val="00D41D6F"/>
    <w:rsid w:val="00D44A96"/>
    <w:rsid w:val="00D45288"/>
    <w:rsid w:val="00D45331"/>
    <w:rsid w:val="00D505A0"/>
    <w:rsid w:val="00D70CD6"/>
    <w:rsid w:val="00D7542B"/>
    <w:rsid w:val="00D76422"/>
    <w:rsid w:val="00D8348D"/>
    <w:rsid w:val="00D92020"/>
    <w:rsid w:val="00D93C78"/>
    <w:rsid w:val="00D979B1"/>
    <w:rsid w:val="00DB198B"/>
    <w:rsid w:val="00DB3BF5"/>
    <w:rsid w:val="00DB4716"/>
    <w:rsid w:val="00DC642B"/>
    <w:rsid w:val="00DE572B"/>
    <w:rsid w:val="00DE647C"/>
    <w:rsid w:val="00DF0116"/>
    <w:rsid w:val="00DF022A"/>
    <w:rsid w:val="00DF4F8B"/>
    <w:rsid w:val="00DF5AEE"/>
    <w:rsid w:val="00E031BB"/>
    <w:rsid w:val="00E2563B"/>
    <w:rsid w:val="00E26CCE"/>
    <w:rsid w:val="00E511ED"/>
    <w:rsid w:val="00E54036"/>
    <w:rsid w:val="00E54F31"/>
    <w:rsid w:val="00E56577"/>
    <w:rsid w:val="00E6073F"/>
    <w:rsid w:val="00E766BE"/>
    <w:rsid w:val="00E77982"/>
    <w:rsid w:val="00E92EFF"/>
    <w:rsid w:val="00E95CA3"/>
    <w:rsid w:val="00EA31CB"/>
    <w:rsid w:val="00EC6463"/>
    <w:rsid w:val="00EF2E7B"/>
    <w:rsid w:val="00EF33B4"/>
    <w:rsid w:val="00EF58CA"/>
    <w:rsid w:val="00EF6580"/>
    <w:rsid w:val="00F03C3F"/>
    <w:rsid w:val="00F13060"/>
    <w:rsid w:val="00F160AE"/>
    <w:rsid w:val="00F23F4A"/>
    <w:rsid w:val="00F262DE"/>
    <w:rsid w:val="00F30345"/>
    <w:rsid w:val="00F418EF"/>
    <w:rsid w:val="00F42FC2"/>
    <w:rsid w:val="00F523C4"/>
    <w:rsid w:val="00F52A5C"/>
    <w:rsid w:val="00F5536C"/>
    <w:rsid w:val="00F5720D"/>
    <w:rsid w:val="00F57938"/>
    <w:rsid w:val="00F754CA"/>
    <w:rsid w:val="00F84E84"/>
    <w:rsid w:val="00F93080"/>
    <w:rsid w:val="00FA1C3D"/>
    <w:rsid w:val="00FA2636"/>
    <w:rsid w:val="00FC7BD0"/>
    <w:rsid w:val="00FD198C"/>
    <w:rsid w:val="00FE1E19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B4716"/>
    <w:rPr>
      <w:color w:val="605E5C"/>
      <w:shd w:val="clear" w:color="auto" w:fill="E1DFDD"/>
    </w:rPr>
  </w:style>
  <w:style w:type="paragraph" w:styleId="Revision">
    <w:name w:val="Revision"/>
    <w:hidden/>
    <w:semiHidden/>
    <w:rsid w:val="00767C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ntractscounsel.com/t/us/contractual-agreement" TargetMode="External"/><Relationship Id="rId18" Type="http://schemas.openxmlformats.org/officeDocument/2006/relationships/hyperlink" Target="https://www.legislation.gov.uk/ukpga/2015/15/content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v.uk/government/news/guidance-on-promoting-british-values-in-schools-publish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businessballs.com/amusement-stress-relief/role-playing-and-role-play-games-process-and-tips/" TargetMode="External"/><Relationship Id="rId17" Type="http://schemas.openxmlformats.org/officeDocument/2006/relationships/hyperlink" Target="https://www.gov.uk/data-protection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oY4sUQzXJ1g" TargetMode="External"/><Relationship Id="rId20" Type="http://schemas.openxmlformats.org/officeDocument/2006/relationships/hyperlink" Target="https://www.gov.uk/guidance/equality-act-2010-guidanc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siue.edu/artsandsciences/acs/SpeechCenter/EffectiveGroup.shtml" TargetMode="Externa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yperlink" Target="https://www.legislation.gov.uk/ukpga/2010/15/content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co.org.uk/for-organisations/guide-to-data-protection/guide-to-the-general-data-protection-regulation-gdpr/" TargetMode="External"/><Relationship Id="rId22" Type="http://schemas.openxmlformats.org/officeDocument/2006/relationships/hyperlink" Target="https://www.gov.uk/government/publications/the-use-of-social-media-for-online-radicalis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789E7-94E0-4BD3-B9EB-75C46BF19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4</cp:revision>
  <cp:lastPrinted>2021-02-03T13:26:00Z</cp:lastPrinted>
  <dcterms:created xsi:type="dcterms:W3CDTF">2021-11-05T11:44:00Z</dcterms:created>
  <dcterms:modified xsi:type="dcterms:W3CDTF">2021-12-09T16:11:00Z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