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0624405" w:rsidR="00CC1C2A" w:rsidRDefault="00376CB6" w:rsidP="00205182">
      <w:pPr>
        <w:pStyle w:val="Unittitle"/>
      </w:pPr>
      <w:r>
        <w:t>U</w:t>
      </w:r>
      <w:r w:rsidR="0017259D">
        <w:t xml:space="preserve">nit </w:t>
      </w:r>
      <w:r w:rsidR="00B75AAA">
        <w:t>3</w:t>
      </w:r>
      <w:r w:rsidR="004357CB">
        <w:t>33</w:t>
      </w:r>
      <w:r w:rsidR="00CC1C2A" w:rsidRPr="00CC1C2A">
        <w:t xml:space="preserve">: </w:t>
      </w:r>
      <w:r w:rsidR="004357CB">
        <w:t>Creating and applying colour</w:t>
      </w:r>
    </w:p>
    <w:p w14:paraId="3719F5E0" w14:textId="5A6CEFD1" w:rsidR="009B0EE5" w:rsidRPr="00CA6EB5" w:rsidRDefault="006B23A9" w:rsidP="000F364F">
      <w:pPr>
        <w:pStyle w:val="Heading1"/>
        <w:rPr>
          <w:sz w:val="28"/>
          <w:szCs w:val="28"/>
        </w:rPr>
        <w:sectPr w:rsidR="009B0EE5" w:rsidRPr="00CA6EB5" w:rsidSect="006C0843">
          <w:headerReference w:type="even" r:id="rId11"/>
          <w:headerReference w:type="default" r:id="rId12"/>
          <w:footerReference w:type="even" r:id="rId13"/>
          <w:footerReference w:type="default" r:id="rId14"/>
          <w:headerReference w:type="first" r:id="rId15"/>
          <w:footerReference w:type="first" r:id="rId16"/>
          <w:type w:val="continuous"/>
          <w:pgSz w:w="16840" w:h="11901" w:orient="landscape"/>
          <w:pgMar w:top="2155" w:right="1191" w:bottom="1247" w:left="1134" w:header="567" w:footer="567" w:gutter="0"/>
          <w:cols w:space="708"/>
          <w:docGrid w:linePitch="299"/>
        </w:sectPr>
      </w:pPr>
      <w:r w:rsidRPr="00CA6EB5">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043A184" w14:textId="77777777" w:rsidR="004357CB" w:rsidRDefault="004357CB" w:rsidP="000F364F">
      <w:pPr>
        <w:spacing w:before="0" w:line="240" w:lineRule="auto"/>
      </w:pPr>
      <w:r>
        <w:t>This unit is about interpreting information and adopting safe, healthy and environmentally responsible work practices. It covers the skills and knowledge required to create and apply colour in relation to painting and decorating work.</w:t>
      </w:r>
    </w:p>
    <w:p w14:paraId="39BCCD03" w14:textId="7317B9E6" w:rsidR="005A22B8" w:rsidRDefault="005A22B8" w:rsidP="000F364F">
      <w:pPr>
        <w:spacing w:before="0" w:line="240" w:lineRule="auto"/>
      </w:pPr>
      <w:r>
        <w:t>Learners may be introduced to this unit by asking themselves questions such as:</w:t>
      </w:r>
    </w:p>
    <w:p w14:paraId="2785ACC0" w14:textId="77777777" w:rsidR="004357CB" w:rsidRDefault="004357CB" w:rsidP="004357CB">
      <w:pPr>
        <w:pStyle w:val="Normalbulletlist"/>
      </w:pPr>
      <w:r w:rsidRPr="004357CB">
        <w:t>How would I plan and prepare the work area?</w:t>
      </w:r>
    </w:p>
    <w:p w14:paraId="37F43705" w14:textId="77777777" w:rsidR="004357CB" w:rsidRDefault="004357CB" w:rsidP="004357CB">
      <w:pPr>
        <w:pStyle w:val="Normalbulletlist"/>
      </w:pPr>
      <w:r w:rsidRPr="004357CB">
        <w:t>How would I choose a suitable ground coat for a decorative effect?</w:t>
      </w:r>
    </w:p>
    <w:p w14:paraId="0A0C57CE" w14:textId="77777777" w:rsidR="004357CB" w:rsidRDefault="004357CB" w:rsidP="004357CB">
      <w:pPr>
        <w:pStyle w:val="Normalbulletlist"/>
      </w:pPr>
      <w:r w:rsidRPr="004357CB">
        <w:t>What colours will complement a chosen wallpaper?</w:t>
      </w:r>
    </w:p>
    <w:p w14:paraId="55B94704" w14:textId="1413BB4A" w:rsidR="00044601" w:rsidRDefault="004357CB" w:rsidP="004357CB">
      <w:pPr>
        <w:pStyle w:val="Normalbulletlist"/>
      </w:pPr>
      <w:r w:rsidRPr="004357CB">
        <w:t>How do I use appropriate equipment and techniques to produce a desired effect?</w:t>
      </w:r>
    </w:p>
    <w:p w14:paraId="5404C98B" w14:textId="77777777" w:rsidR="004357CB" w:rsidRPr="004357CB" w:rsidRDefault="004357CB" w:rsidP="004357CB">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6F74B957" w14:textId="44828DE5" w:rsidR="00044601" w:rsidRDefault="00044601" w:rsidP="00FF7D8C">
      <w:pPr>
        <w:pStyle w:val="Normalnumberedlist"/>
      </w:pPr>
      <w:r>
        <w:t xml:space="preserve">Understand </w:t>
      </w:r>
      <w:r w:rsidR="004357CB">
        <w:t>colours required to create a colour wheel</w:t>
      </w:r>
    </w:p>
    <w:p w14:paraId="24A24350" w14:textId="0DAEC7EB" w:rsidR="00044601" w:rsidRDefault="00044601" w:rsidP="00FF7D8C">
      <w:pPr>
        <w:pStyle w:val="Normalnumberedlist"/>
      </w:pPr>
      <w:r>
        <w:t xml:space="preserve">Understand </w:t>
      </w:r>
      <w:r w:rsidR="004357CB">
        <w:t>colour organisational systems and terminology</w:t>
      </w:r>
    </w:p>
    <w:p w14:paraId="3FD18037" w14:textId="6A9E636E" w:rsidR="00DF022A" w:rsidRDefault="003F7FD4" w:rsidP="00FF7D8C">
      <w:pPr>
        <w:pStyle w:val="Normalnumberedlist"/>
      </w:pPr>
      <w:r>
        <w:t>Comply</w:t>
      </w:r>
      <w:r w:rsidR="00044601">
        <w:t xml:space="preserve"> with the given contract information to carry out the work safely and efficiently to the required specification</w:t>
      </w:r>
      <w:r w:rsidR="00DF022A">
        <w:br/>
      </w:r>
    </w:p>
    <w:p w14:paraId="0C2206E4" w14:textId="106F021E" w:rsidR="00EC6E91" w:rsidRDefault="00EC6E91" w:rsidP="00EC6E91">
      <w:pPr>
        <w:pStyle w:val="Normalnumberedlist"/>
        <w:numPr>
          <w:ilvl w:val="0"/>
          <w:numId w:val="0"/>
        </w:numPr>
        <w:ind w:left="357" w:hanging="357"/>
      </w:pPr>
    </w:p>
    <w:p w14:paraId="0DB0EF99" w14:textId="1AD3C1C9" w:rsidR="00EC6E91" w:rsidRDefault="00EC6E91" w:rsidP="00EC6E91">
      <w:pPr>
        <w:pStyle w:val="Normalnumberedlist"/>
        <w:numPr>
          <w:ilvl w:val="0"/>
          <w:numId w:val="0"/>
        </w:numPr>
        <w:ind w:left="357" w:hanging="357"/>
      </w:pPr>
    </w:p>
    <w:p w14:paraId="48BDEE12" w14:textId="39630F44" w:rsidR="00EC6E91" w:rsidRDefault="00EC6E91" w:rsidP="00EC6E91">
      <w:pPr>
        <w:pStyle w:val="Normalnumberedlist"/>
        <w:numPr>
          <w:ilvl w:val="0"/>
          <w:numId w:val="0"/>
        </w:numPr>
        <w:ind w:left="357" w:hanging="357"/>
      </w:pPr>
    </w:p>
    <w:p w14:paraId="284D7EAB" w14:textId="40012D3A" w:rsidR="00EC6E91" w:rsidRDefault="00EC6E91" w:rsidP="00EC6E91">
      <w:pPr>
        <w:pStyle w:val="Normalnumberedlist"/>
        <w:numPr>
          <w:ilvl w:val="0"/>
          <w:numId w:val="0"/>
        </w:numPr>
        <w:ind w:left="357" w:hanging="357"/>
      </w:pPr>
    </w:p>
    <w:p w14:paraId="0830F260" w14:textId="77777777" w:rsidR="00EC6E91" w:rsidRDefault="00EC6E91" w:rsidP="00EC6E91">
      <w:pPr>
        <w:pStyle w:val="Normalnumberedlist"/>
        <w:numPr>
          <w:ilvl w:val="0"/>
          <w:numId w:val="0"/>
        </w:numPr>
        <w:ind w:left="357" w:hanging="357"/>
      </w:pPr>
    </w:p>
    <w:p w14:paraId="05E8087E" w14:textId="2F598C97" w:rsidR="004D0BA5" w:rsidRPr="001C0CA5" w:rsidRDefault="00DF022A" w:rsidP="000F364F">
      <w:pPr>
        <w:pStyle w:val="Style1"/>
        <w:spacing w:before="0" w:line="240" w:lineRule="auto"/>
      </w:pPr>
      <w:r>
        <w:t>Suggested resources</w:t>
      </w:r>
    </w:p>
    <w:p w14:paraId="79D2DDA0" w14:textId="77777777" w:rsidR="005A22B8" w:rsidRDefault="005A22B8" w:rsidP="005A22B8">
      <w:pPr>
        <w:pStyle w:val="Normalheadingblack"/>
        <w:rPr>
          <w:bCs/>
          <w:szCs w:val="22"/>
        </w:rPr>
      </w:pPr>
      <w:bookmarkStart w:id="0" w:name="_Hlk77780823"/>
      <w:bookmarkStart w:id="1" w:name="_Hlk77780722"/>
      <w:bookmarkStart w:id="2" w:name="_Hlk77779949"/>
      <w:r>
        <w:t>Textbooks</w:t>
      </w:r>
    </w:p>
    <w:bookmarkEnd w:id="0"/>
    <w:p w14:paraId="0EBF4DA9" w14:textId="77777777" w:rsidR="00EC6E91" w:rsidRDefault="00EC6E91" w:rsidP="00EC6E91">
      <w:pPr>
        <w:pStyle w:val="Normalbulletlist"/>
      </w:pPr>
      <w:r>
        <w:t xml:space="preserve">Cook, A., Fearn, C., Walter, S., Yarde, B. (2014) </w:t>
      </w:r>
      <w:r w:rsidRPr="008F5B56">
        <w:rPr>
          <w:i/>
          <w:iCs/>
        </w:rPr>
        <w:t xml:space="preserve">Textbook: Painting and Decorating for the Level 1 Diploma. </w:t>
      </w:r>
      <w:r>
        <w:t xml:space="preserve">Hodder Education. </w:t>
      </w:r>
      <w:r>
        <w:br/>
        <w:t>ISBN 978-0-85193-295-8</w:t>
      </w:r>
    </w:p>
    <w:p w14:paraId="5C12F5FA" w14:textId="58E06F80" w:rsidR="00EC6E91" w:rsidRDefault="00EC6E91" w:rsidP="00EC6E91">
      <w:pPr>
        <w:pStyle w:val="Normalbulletlist"/>
      </w:pPr>
      <w:r>
        <w:t xml:space="preserve">Cook, A., Fearn, C., Walter, S., Yarde, B. (2014) </w:t>
      </w:r>
      <w:r w:rsidRPr="008F5B56">
        <w:rPr>
          <w:i/>
          <w:iCs/>
        </w:rPr>
        <w:t xml:space="preserve">Textbook: Painting and Decorating for the Level 2 Diploma. </w:t>
      </w:r>
      <w:r>
        <w:t>Hodder Education.</w:t>
      </w:r>
      <w:r>
        <w:br/>
        <w:t>ISBN</w:t>
      </w:r>
      <w:r w:rsidR="002A4DA0">
        <w:t xml:space="preserve"> </w:t>
      </w:r>
      <w:r>
        <w:t>978-0-85193-296-5</w:t>
      </w:r>
    </w:p>
    <w:p w14:paraId="5E7370C1" w14:textId="77718605" w:rsidR="00EC6E91" w:rsidRDefault="00EC6E91" w:rsidP="00EC6E91">
      <w:pPr>
        <w:pStyle w:val="Normalbulletlist"/>
      </w:pPr>
      <w:r>
        <w:t xml:space="preserve">Fulcher, A., Rhodes, B., Stewart, B., Tickle, D., Windsor, J., Butterfield, D. (2005) </w:t>
      </w:r>
      <w:r w:rsidRPr="002D4C84">
        <w:rPr>
          <w:i/>
          <w:iCs/>
        </w:rPr>
        <w:t>Textbook: Painting and Decorating</w:t>
      </w:r>
      <w:r w:rsidR="00437B7E">
        <w:rPr>
          <w:i/>
          <w:iCs/>
        </w:rPr>
        <w:t>,</w:t>
      </w:r>
      <w:r w:rsidRPr="002D4C84">
        <w:rPr>
          <w:i/>
          <w:iCs/>
        </w:rPr>
        <w:t xml:space="preserve"> </w:t>
      </w:r>
      <w:r w:rsidRPr="00437B7E">
        <w:t>5</w:t>
      </w:r>
      <w:r w:rsidRPr="00437B7E">
        <w:rPr>
          <w:vertAlign w:val="superscript"/>
        </w:rPr>
        <w:t>th</w:t>
      </w:r>
      <w:r w:rsidRPr="00437B7E">
        <w:t xml:space="preserve"> Edition</w:t>
      </w:r>
      <w:r w:rsidRPr="002D4C84">
        <w:rPr>
          <w:i/>
          <w:iCs/>
        </w:rPr>
        <w:t xml:space="preserve">. </w:t>
      </w:r>
      <w:r>
        <w:t>Blackwell Publishing. ISBN</w:t>
      </w:r>
      <w:r w:rsidR="002A4DA0">
        <w:t xml:space="preserve"> </w:t>
      </w:r>
      <w:r>
        <w:t>1-405-1254-9</w:t>
      </w:r>
    </w:p>
    <w:p w14:paraId="1260862E" w14:textId="77777777" w:rsidR="005A22B8" w:rsidRDefault="005A22B8" w:rsidP="005A22B8">
      <w:pPr>
        <w:pStyle w:val="Normalbulletsublist"/>
        <w:numPr>
          <w:ilvl w:val="0"/>
          <w:numId w:val="0"/>
        </w:numPr>
        <w:ind w:left="568" w:hanging="284"/>
      </w:pPr>
    </w:p>
    <w:p w14:paraId="1C084B5C" w14:textId="77777777" w:rsidR="005A22B8" w:rsidRDefault="005A22B8" w:rsidP="005A22B8">
      <w:pPr>
        <w:pStyle w:val="Normalheadingblack"/>
        <w:rPr>
          <w:bCs/>
          <w:szCs w:val="22"/>
        </w:rPr>
      </w:pPr>
      <w:bookmarkStart w:id="3" w:name="_Hlk77780839"/>
      <w:r>
        <w:t>Websites</w:t>
      </w:r>
    </w:p>
    <w:bookmarkEnd w:id="1"/>
    <w:bookmarkEnd w:id="2"/>
    <w:bookmarkEnd w:id="3"/>
    <w:p w14:paraId="267E5F67" w14:textId="61BDEC71" w:rsidR="00EC6E91" w:rsidRPr="00EC6E91" w:rsidRDefault="00EC6E91" w:rsidP="00EC6E91">
      <w:pPr>
        <w:pStyle w:val="Normalbulletlist"/>
        <w:rPr>
          <w:rStyle w:val="Hyperlink"/>
          <w:b/>
        </w:rPr>
      </w:pPr>
      <w:r>
        <w:fldChar w:fldCharType="begin"/>
      </w:r>
      <w:r>
        <w:instrText xml:space="preserve"> HYPERLINK "https://www.bsigroup.com/en-GB/" </w:instrText>
      </w:r>
      <w:r>
        <w:fldChar w:fldCharType="separate"/>
      </w:r>
      <w:r w:rsidRPr="00EC6E91">
        <w:rPr>
          <w:rStyle w:val="Hyperlink"/>
        </w:rPr>
        <w:t>British Standards | Homepage</w:t>
      </w:r>
    </w:p>
    <w:p w14:paraId="0AFC8F45" w14:textId="2E18814D" w:rsidR="00EC6E91" w:rsidRPr="00EC6E91" w:rsidRDefault="00EC6E91" w:rsidP="00EC6E91">
      <w:pPr>
        <w:pStyle w:val="Normalbulletlist"/>
        <w:rPr>
          <w:b/>
        </w:rPr>
      </w:pPr>
      <w:r>
        <w:fldChar w:fldCharType="end"/>
      </w:r>
      <w:hyperlink r:id="rId17" w:history="1">
        <w:r w:rsidRPr="00EC6E91">
          <w:rPr>
            <w:rStyle w:val="Hyperlink"/>
          </w:rPr>
          <w:t>NCS Colour | Homepage</w:t>
        </w:r>
      </w:hyperlink>
    </w:p>
    <w:p w14:paraId="227D0A75" w14:textId="60BF7403" w:rsidR="00EC6E91" w:rsidRDefault="00011869" w:rsidP="00EC6E91">
      <w:pPr>
        <w:pStyle w:val="Normalbulletlist"/>
      </w:pPr>
      <w:hyperlink r:id="rId18" w:history="1">
        <w:r w:rsidR="00EC6E91" w:rsidRPr="00EC6E91">
          <w:rPr>
            <w:rStyle w:val="Hyperlink"/>
          </w:rPr>
          <w:t>RAL Colours | Homepage</w:t>
        </w:r>
      </w:hyperlink>
    </w:p>
    <w:p w14:paraId="3206F715" w14:textId="77777777" w:rsidR="00EC6E91" w:rsidRDefault="00EC6E91" w:rsidP="00EC6E91">
      <w:pPr>
        <w:pStyle w:val="Normalbulletsublist"/>
        <w:numPr>
          <w:ilvl w:val="0"/>
          <w:numId w:val="0"/>
        </w:numPr>
      </w:pPr>
    </w:p>
    <w:p w14:paraId="5041AC88" w14:textId="77777777" w:rsidR="00EC6E91" w:rsidRDefault="00EC6E91" w:rsidP="00EC6E91">
      <w:pPr>
        <w:pStyle w:val="Normalheadingblack"/>
      </w:pPr>
      <w:r>
        <w:t>Manufacturers</w:t>
      </w:r>
    </w:p>
    <w:p w14:paraId="0284B753" w14:textId="554AB6BF" w:rsidR="00EC6E91" w:rsidRDefault="00011869" w:rsidP="00EC6E91">
      <w:pPr>
        <w:pStyle w:val="Normalbulletlist"/>
      </w:pPr>
      <w:hyperlink r:id="rId19" w:history="1">
        <w:r w:rsidR="00EC6E91" w:rsidRPr="00EC6E91">
          <w:rPr>
            <w:rStyle w:val="Hyperlink"/>
            <w:bCs w:val="0"/>
          </w:rPr>
          <w:t>Akzo Nobel</w:t>
        </w:r>
      </w:hyperlink>
    </w:p>
    <w:p w14:paraId="38799D6E" w14:textId="105E0499" w:rsidR="00EC6E91" w:rsidRDefault="00011869" w:rsidP="00EC6E91">
      <w:pPr>
        <w:pStyle w:val="Normalbulletlist"/>
      </w:pPr>
      <w:hyperlink r:id="rId20" w:history="1">
        <w:r w:rsidR="00EC6E91" w:rsidRPr="00EC6E91">
          <w:rPr>
            <w:rStyle w:val="Hyperlink"/>
          </w:rPr>
          <w:t>Crown Paints</w:t>
        </w:r>
      </w:hyperlink>
    </w:p>
    <w:p w14:paraId="2C995A3C" w14:textId="12F003D7" w:rsidR="00EC6E91" w:rsidRDefault="00011869" w:rsidP="00EC6E91">
      <w:pPr>
        <w:pStyle w:val="Normalbulletlist"/>
      </w:pPr>
      <w:hyperlink r:id="rId21" w:history="1">
        <w:r w:rsidR="00EC6E91" w:rsidRPr="00EC6E91">
          <w:rPr>
            <w:rStyle w:val="Hyperlink"/>
          </w:rPr>
          <w:t>Dulux</w:t>
        </w:r>
      </w:hyperlink>
    </w:p>
    <w:p w14:paraId="12276F0A" w14:textId="5A26BAA9" w:rsidR="00EC6E91" w:rsidRDefault="00011869" w:rsidP="00EC6E91">
      <w:pPr>
        <w:pStyle w:val="Normalbulletlist"/>
      </w:pPr>
      <w:hyperlink r:id="rId22" w:history="1">
        <w:r w:rsidR="00EC6E91" w:rsidRPr="00EC6E91">
          <w:rPr>
            <w:rStyle w:val="Hyperlink"/>
          </w:rPr>
          <w:t>Johnstone's Paints</w:t>
        </w:r>
      </w:hyperlink>
    </w:p>
    <w:p w14:paraId="78E3519D" w14:textId="77777777" w:rsidR="005A22B8" w:rsidRDefault="005A22B8" w:rsidP="005A22B8">
      <w:pPr>
        <w:pStyle w:val="Normalbulletsublist"/>
        <w:numPr>
          <w:ilvl w:val="0"/>
          <w:numId w:val="0"/>
        </w:numPr>
        <w:ind w:left="284"/>
      </w:pPr>
    </w:p>
    <w:p w14:paraId="1B9DD587" w14:textId="79BD0FC6" w:rsidR="00D93C78" w:rsidRDefault="00D93C78" w:rsidP="00FB52AB">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CFEC52D" w:rsidR="00041DCF" w:rsidRPr="00E6073F" w:rsidRDefault="00DF022A" w:rsidP="00D979B1">
            <w:pPr>
              <w:rPr>
                <w:b/>
                <w:bCs/>
                <w:color w:val="FFFFFF" w:themeColor="background1"/>
              </w:rPr>
            </w:pPr>
            <w:r>
              <w:rPr>
                <w:b/>
                <w:bCs/>
                <w:color w:val="FFFFFF" w:themeColor="background1"/>
              </w:rPr>
              <w:t>Delivery guidance</w:t>
            </w:r>
          </w:p>
        </w:tc>
      </w:tr>
      <w:tr w:rsidR="00BC7FCF" w:rsidRPr="00D979B1" w14:paraId="1E63667F" w14:textId="77777777" w:rsidTr="00106031">
        <w:tc>
          <w:tcPr>
            <w:tcW w:w="3627" w:type="dxa"/>
            <w:vMerge w:val="restart"/>
            <w:tcBorders>
              <w:top w:val="nil"/>
            </w:tcBorders>
            <w:tcMar>
              <w:top w:w="108" w:type="dxa"/>
              <w:bottom w:w="108" w:type="dxa"/>
            </w:tcMar>
          </w:tcPr>
          <w:p w14:paraId="028BA971" w14:textId="7F94BC27" w:rsidR="00BC7FCF" w:rsidRPr="00CD50CC" w:rsidRDefault="00BC7FCF" w:rsidP="0014772E">
            <w:pPr>
              <w:pStyle w:val="Normalnumberedlist"/>
              <w:numPr>
                <w:ilvl w:val="0"/>
                <w:numId w:val="7"/>
              </w:numPr>
            </w:pPr>
            <w:r>
              <w:t>Colours required to create a colour wheel</w:t>
            </w:r>
          </w:p>
        </w:tc>
        <w:tc>
          <w:tcPr>
            <w:tcW w:w="3627" w:type="dxa"/>
            <w:tcBorders>
              <w:top w:val="nil"/>
            </w:tcBorders>
            <w:tcMar>
              <w:top w:w="108" w:type="dxa"/>
              <w:bottom w:w="108" w:type="dxa"/>
            </w:tcMar>
          </w:tcPr>
          <w:p w14:paraId="404EE5F5" w14:textId="3816F5B7" w:rsidR="00BC7FCF" w:rsidRPr="00CD50CC" w:rsidRDefault="00BC7FCF" w:rsidP="0014772E">
            <w:pPr>
              <w:pStyle w:val="ListParagraph"/>
              <w:numPr>
                <w:ilvl w:val="1"/>
                <w:numId w:val="7"/>
              </w:numPr>
              <w:adjustRightInd w:val="0"/>
              <w:spacing w:line="240" w:lineRule="auto"/>
              <w:contextualSpacing w:val="0"/>
            </w:pPr>
            <w:r>
              <w:t>Purpose of a colour wheel</w:t>
            </w:r>
          </w:p>
        </w:tc>
        <w:tc>
          <w:tcPr>
            <w:tcW w:w="7261" w:type="dxa"/>
            <w:tcBorders>
              <w:top w:val="nil"/>
            </w:tcBorders>
            <w:tcMar>
              <w:top w:w="108" w:type="dxa"/>
              <w:bottom w:w="108" w:type="dxa"/>
            </w:tcMar>
          </w:tcPr>
          <w:p w14:paraId="281AB8F9" w14:textId="58113B9D" w:rsidR="00BC7FCF" w:rsidRDefault="00BC7FCF" w:rsidP="00BC7FCF">
            <w:pPr>
              <w:pStyle w:val="Normalbulletlist"/>
            </w:pPr>
            <w:r>
              <w:t>Learners will understand the colour wheel and its relationship to colour such as:</w:t>
            </w:r>
          </w:p>
          <w:p w14:paraId="5D57D027" w14:textId="0B062753" w:rsidR="00BC7FCF" w:rsidRDefault="00BC7FCF" w:rsidP="00BC7FCF">
            <w:pPr>
              <w:pStyle w:val="Normalbulletsublist"/>
            </w:pPr>
            <w:r>
              <w:t xml:space="preserve">a rotating disc with sectors of different hues which, when rotated at speed, should (theoretically) turn white in </w:t>
            </w:r>
            <w:r w:rsidR="00437B7E">
              <w:t>‘</w:t>
            </w:r>
            <w:r>
              <w:t>colour</w:t>
            </w:r>
            <w:r w:rsidR="00437B7E">
              <w:t>’</w:t>
            </w:r>
          </w:p>
          <w:p w14:paraId="50724573" w14:textId="6D2B16A3" w:rsidR="00BC7FCF" w:rsidRDefault="00BC7FCF" w:rsidP="00BC7FCF">
            <w:pPr>
              <w:pStyle w:val="Normalbulletsublist"/>
            </w:pPr>
            <w:r>
              <w:t xml:space="preserve">being pigmented, the colours produce a </w:t>
            </w:r>
            <w:r w:rsidR="00437B7E">
              <w:t>‘</w:t>
            </w:r>
            <w:r>
              <w:t>subtractive</w:t>
            </w:r>
            <w:r w:rsidR="00437B7E">
              <w:t>’</w:t>
            </w:r>
            <w:r>
              <w:t xml:space="preserve"> effect, meaning that the wheel does NOT turn white when rotated at speed</w:t>
            </w:r>
          </w:p>
          <w:p w14:paraId="7123872D" w14:textId="230C5E13" w:rsidR="00BC7FCF" w:rsidRDefault="00BC7FCF" w:rsidP="00BC7FCF">
            <w:pPr>
              <w:pStyle w:val="Normalbulletsublist"/>
            </w:pPr>
            <w:r>
              <w:t>a static disc, it merely shows the relationship between the colours used</w:t>
            </w:r>
          </w:p>
          <w:p w14:paraId="52A1A5D3" w14:textId="105B3DCE" w:rsidR="00BC7FCF" w:rsidRPr="00CD50CC" w:rsidRDefault="00BC7FCF" w:rsidP="00BC7FCF">
            <w:pPr>
              <w:pStyle w:val="Normalbulletsublist"/>
            </w:pPr>
            <w:r>
              <w:t>it can also show the primary, secondary and tertiary colours in relation to each other.</w:t>
            </w:r>
          </w:p>
        </w:tc>
      </w:tr>
      <w:tr w:rsidR="001B1FFF" w:rsidRPr="00D979B1" w14:paraId="2DF4DFA8" w14:textId="77777777" w:rsidTr="00106031">
        <w:tc>
          <w:tcPr>
            <w:tcW w:w="3627" w:type="dxa"/>
            <w:vMerge/>
            <w:tcMar>
              <w:top w:w="108" w:type="dxa"/>
              <w:bottom w:w="108" w:type="dxa"/>
            </w:tcMar>
          </w:tcPr>
          <w:p w14:paraId="6F7632F3" w14:textId="3742FE79" w:rsidR="001B1FFF" w:rsidRPr="00CD50CC" w:rsidRDefault="001B1FFF" w:rsidP="0014772E">
            <w:pPr>
              <w:pStyle w:val="ListParagraph"/>
              <w:numPr>
                <w:ilvl w:val="0"/>
                <w:numId w:val="7"/>
              </w:numPr>
              <w:adjustRightInd w:val="0"/>
              <w:spacing w:line="240" w:lineRule="auto"/>
            </w:pPr>
          </w:p>
        </w:tc>
        <w:tc>
          <w:tcPr>
            <w:tcW w:w="3627" w:type="dxa"/>
            <w:tcMar>
              <w:top w:w="108" w:type="dxa"/>
              <w:bottom w:w="108" w:type="dxa"/>
            </w:tcMar>
          </w:tcPr>
          <w:p w14:paraId="38AF087A" w14:textId="0CAB0720" w:rsidR="001B1FFF" w:rsidRPr="00CD50CC" w:rsidRDefault="001B1FFF" w:rsidP="0014772E">
            <w:pPr>
              <w:pStyle w:val="ListParagraph"/>
              <w:numPr>
                <w:ilvl w:val="1"/>
                <w:numId w:val="7"/>
              </w:numPr>
              <w:adjustRightInd w:val="0"/>
              <w:spacing w:line="240" w:lineRule="auto"/>
              <w:contextualSpacing w:val="0"/>
            </w:pPr>
            <w:r>
              <w:t>Colour mixture in a colour wheel</w:t>
            </w:r>
          </w:p>
        </w:tc>
        <w:tc>
          <w:tcPr>
            <w:tcW w:w="7261" w:type="dxa"/>
            <w:tcMar>
              <w:top w:w="108" w:type="dxa"/>
              <w:bottom w:w="108" w:type="dxa"/>
            </w:tcMar>
          </w:tcPr>
          <w:p w14:paraId="5FC45DF7" w14:textId="4129E7AB" w:rsidR="001B1FFF" w:rsidRDefault="001B1FFF" w:rsidP="001B1FFF">
            <w:pPr>
              <w:pStyle w:val="Normalbulletlist"/>
            </w:pPr>
            <w:r>
              <w:t>Learners should be tasked with producing a completed colour wheel (e.g. using poster / gouache paints) to include the following:</w:t>
            </w:r>
          </w:p>
          <w:p w14:paraId="71C40B1C" w14:textId="452F734B" w:rsidR="001B1FFF" w:rsidRDefault="001B1FFF" w:rsidP="001B1FFF">
            <w:pPr>
              <w:pStyle w:val="Normalbulletsublist"/>
            </w:pPr>
            <w:r>
              <w:t xml:space="preserve">Primary colours (these will be the </w:t>
            </w:r>
            <w:r w:rsidRPr="00F7291D">
              <w:t xml:space="preserve">pigment </w:t>
            </w:r>
            <w:r>
              <w:t>primaries); red, yellow, blue</w:t>
            </w:r>
          </w:p>
          <w:p w14:paraId="4219DE50" w14:textId="30A2E0D0" w:rsidR="001B1FFF" w:rsidRDefault="001B1FFF" w:rsidP="001B1FFF">
            <w:pPr>
              <w:pStyle w:val="Normalbulletsublist"/>
            </w:pPr>
            <w:r>
              <w:t>Secondary colours (made from a mixture of two</w:t>
            </w:r>
            <w:r w:rsidRPr="001B1FFF">
              <w:rPr>
                <w:i/>
                <w:iCs/>
              </w:rPr>
              <w:t xml:space="preserve"> </w:t>
            </w:r>
            <w:r w:rsidRPr="00F7291D">
              <w:t>primary</w:t>
            </w:r>
            <w:r>
              <w:t xml:space="preserve"> colours)</w:t>
            </w:r>
          </w:p>
          <w:p w14:paraId="45EC078B" w14:textId="79958837" w:rsidR="001B1FFF" w:rsidRDefault="001B1FFF" w:rsidP="001B1FFF">
            <w:pPr>
              <w:pStyle w:val="Normalbulletsublist"/>
            </w:pPr>
            <w:r>
              <w:t>Tertiary colours (made from a mixture of two</w:t>
            </w:r>
            <w:r w:rsidRPr="001B1FFF">
              <w:rPr>
                <w:i/>
                <w:iCs/>
              </w:rPr>
              <w:t xml:space="preserve"> </w:t>
            </w:r>
            <w:r w:rsidRPr="00F7291D">
              <w:t>secondary</w:t>
            </w:r>
            <w:r>
              <w:t xml:space="preserve"> colours).</w:t>
            </w:r>
          </w:p>
          <w:p w14:paraId="3088A350" w14:textId="43BCDD60" w:rsidR="001B1FFF" w:rsidRDefault="001B1FFF" w:rsidP="001B1FFF">
            <w:pPr>
              <w:pStyle w:val="Normalbulletlist"/>
            </w:pPr>
            <w:r>
              <w:t xml:space="preserve">Learner to use paints for worksheets to enable them to see the </w:t>
            </w:r>
            <w:r w:rsidR="00437B7E">
              <w:t>‘</w:t>
            </w:r>
            <w:r>
              <w:t>staining power</w:t>
            </w:r>
            <w:r w:rsidR="00437B7E">
              <w:t>’</w:t>
            </w:r>
            <w:r>
              <w:t xml:space="preserve"> of coloured pigments and enhance their hand skills when carrying out detailed work at later stages of their apprenticeship.</w:t>
            </w:r>
          </w:p>
          <w:p w14:paraId="7C7FF427" w14:textId="02042C17" w:rsidR="001B1FFF" w:rsidRDefault="001B1FFF" w:rsidP="001B1FFF">
            <w:pPr>
              <w:pStyle w:val="Normalbulletlist"/>
              <w:spacing w:line="240" w:lineRule="auto"/>
            </w:pPr>
            <w:r>
              <w:t xml:space="preserve">Learners must be able to explain the main source of natural light and how we see </w:t>
            </w:r>
            <w:r w:rsidR="00437B7E">
              <w:t>‘</w:t>
            </w:r>
            <w:r>
              <w:t>colours</w:t>
            </w:r>
            <w:r w:rsidR="00437B7E">
              <w:t>’</w:t>
            </w:r>
            <w:r>
              <w:t xml:space="preserve"> in relation to:</w:t>
            </w:r>
          </w:p>
          <w:p w14:paraId="53C67434" w14:textId="4701CAFA" w:rsidR="001B1FFF" w:rsidRDefault="001B1FFF" w:rsidP="001B1FFF">
            <w:pPr>
              <w:pStyle w:val="Normalbulletsublist"/>
            </w:pPr>
            <w:r>
              <w:t>visible spectrum (</w:t>
            </w:r>
            <w:r w:rsidR="00437B7E">
              <w:t>‘</w:t>
            </w:r>
            <w:r>
              <w:t>rainbow</w:t>
            </w:r>
            <w:r w:rsidR="00437B7E">
              <w:t>’</w:t>
            </w:r>
            <w:r>
              <w:t xml:space="preserve"> colours)</w:t>
            </w:r>
          </w:p>
          <w:p w14:paraId="7F64C86D" w14:textId="77777777" w:rsidR="001B1FFF" w:rsidRDefault="001B1FFF" w:rsidP="001B1FFF">
            <w:pPr>
              <w:pStyle w:val="Normalbulletsublist"/>
            </w:pPr>
            <w:r>
              <w:t>reflected light</w:t>
            </w:r>
          </w:p>
          <w:p w14:paraId="586A001F" w14:textId="0E1316B0" w:rsidR="001B1FFF" w:rsidRDefault="001B1FFF" w:rsidP="001B1FFF">
            <w:pPr>
              <w:pStyle w:val="Normalbulletsublist"/>
            </w:pPr>
            <w:r>
              <w:t>absorbed light.</w:t>
            </w:r>
          </w:p>
          <w:p w14:paraId="22D28C04" w14:textId="1C899FF3" w:rsidR="001B1FFF" w:rsidRDefault="001B1FFF" w:rsidP="001B1FFF">
            <w:pPr>
              <w:pStyle w:val="Normalbulletlist"/>
            </w:pPr>
            <w:r>
              <w:t xml:space="preserve">Learners must be able to name red, yellow and blue as </w:t>
            </w:r>
            <w:r w:rsidRPr="001B1FFF">
              <w:t xml:space="preserve">pigment primary colours </w:t>
            </w:r>
            <w:r>
              <w:t xml:space="preserve">and explain why they are called that. </w:t>
            </w:r>
          </w:p>
          <w:p w14:paraId="4EFE194C" w14:textId="0677DE66" w:rsidR="001B1FFF" w:rsidRDefault="001B1FFF" w:rsidP="00F7291D">
            <w:pPr>
              <w:pStyle w:val="Normalbulletlist"/>
            </w:pPr>
            <w:r>
              <w:lastRenderedPageBreak/>
              <w:t xml:space="preserve">Learners must be able to name </w:t>
            </w:r>
            <w:r w:rsidR="00F7291D">
              <w:t xml:space="preserve">orange, green and purple as </w:t>
            </w:r>
            <w:r w:rsidRPr="00F7291D">
              <w:t>secondary colours</w:t>
            </w:r>
            <w:r w:rsidR="00F7291D">
              <w:rPr>
                <w:i/>
                <w:iCs/>
              </w:rPr>
              <w:t xml:space="preserve"> </w:t>
            </w:r>
            <w:r w:rsidR="00F7291D">
              <w:t>and explain why they are called that.</w:t>
            </w:r>
          </w:p>
          <w:p w14:paraId="19534901" w14:textId="77777777" w:rsidR="00F7291D" w:rsidRPr="00F7291D" w:rsidRDefault="001B1FFF" w:rsidP="00FE7DB5">
            <w:pPr>
              <w:pStyle w:val="Normalbulletlist"/>
            </w:pPr>
            <w:r>
              <w:t>Learners must be able to name</w:t>
            </w:r>
            <w:r w:rsidR="00F7291D">
              <w:t xml:space="preserve"> citrine, olive and russet as </w:t>
            </w:r>
            <w:r w:rsidR="00F7291D" w:rsidRPr="00F7291D">
              <w:t>tertiary</w:t>
            </w:r>
          </w:p>
          <w:p w14:paraId="66907623" w14:textId="77777777" w:rsidR="00F7291D" w:rsidRDefault="00F7291D" w:rsidP="00FE7DB5">
            <w:pPr>
              <w:pStyle w:val="Normalbulletlist"/>
              <w:numPr>
                <w:ilvl w:val="0"/>
                <w:numId w:val="0"/>
              </w:numPr>
              <w:ind w:left="284"/>
            </w:pPr>
            <w:r w:rsidRPr="00F7291D">
              <w:t>colours</w:t>
            </w:r>
            <w:r>
              <w:t xml:space="preserve"> </w:t>
            </w:r>
            <w:r w:rsidR="001B1FFF">
              <w:t>and explain why</w:t>
            </w:r>
            <w:r>
              <w:t xml:space="preserve"> they are </w:t>
            </w:r>
            <w:r w:rsidR="001B1FFF">
              <w:t>(</w:t>
            </w:r>
            <w:r>
              <w:t>t</w:t>
            </w:r>
            <w:r w:rsidR="001B1FFF">
              <w:t>raditionally) called</w:t>
            </w:r>
            <w:r>
              <w:t xml:space="preserve"> that.</w:t>
            </w:r>
          </w:p>
          <w:p w14:paraId="71DA9B7B" w14:textId="5639B439" w:rsidR="001B1FFF" w:rsidRDefault="001B1FFF" w:rsidP="00F7291D">
            <w:pPr>
              <w:pStyle w:val="Normalbulletlist"/>
            </w:pPr>
            <w:r>
              <w:t>Learners should know that there is an</w:t>
            </w:r>
            <w:r w:rsidR="00F7291D">
              <w:t xml:space="preserve"> </w:t>
            </w:r>
            <w:r>
              <w:t>alternative method used by some when</w:t>
            </w:r>
            <w:r w:rsidR="00F7291D">
              <w:t xml:space="preserve"> </w:t>
            </w:r>
            <w:r>
              <w:t xml:space="preserve">describing </w:t>
            </w:r>
            <w:r w:rsidR="00F7291D">
              <w:t>t</w:t>
            </w:r>
            <w:r>
              <w:t>ertiary colours, as follows:</w:t>
            </w:r>
          </w:p>
          <w:p w14:paraId="6A8BB857" w14:textId="7EC3DCA0" w:rsidR="001B1FFF" w:rsidRDefault="00F7291D" w:rsidP="00F7291D">
            <w:pPr>
              <w:pStyle w:val="Normalbulletsublist"/>
            </w:pPr>
            <w:r>
              <w:t>y</w:t>
            </w:r>
            <w:r w:rsidR="001B1FFF">
              <w:t xml:space="preserve">ellow </w:t>
            </w:r>
            <w:r w:rsidR="00516580">
              <w:t>–</w:t>
            </w:r>
            <w:r w:rsidR="001B1FFF">
              <w:t xml:space="preserve"> green</w:t>
            </w:r>
          </w:p>
          <w:p w14:paraId="0D2BC8C9" w14:textId="3AF3D1DF" w:rsidR="001B1FFF" w:rsidRDefault="001B1FFF" w:rsidP="00F7291D">
            <w:pPr>
              <w:pStyle w:val="Normalbulletsublist"/>
            </w:pPr>
            <w:r>
              <w:t xml:space="preserve">blue </w:t>
            </w:r>
            <w:r w:rsidR="00516580">
              <w:t>–</w:t>
            </w:r>
            <w:r>
              <w:t xml:space="preserve"> green</w:t>
            </w:r>
          </w:p>
          <w:p w14:paraId="63C27F10" w14:textId="2DF1894B" w:rsidR="001B1FFF" w:rsidRDefault="001B1FFF" w:rsidP="00F7291D">
            <w:pPr>
              <w:pStyle w:val="Normalbulletsublist"/>
            </w:pPr>
            <w:r>
              <w:t>blue – purple (indigo)</w:t>
            </w:r>
          </w:p>
          <w:p w14:paraId="379183EC" w14:textId="36C739A5" w:rsidR="001B1FFF" w:rsidRDefault="001B1FFF" w:rsidP="00F7291D">
            <w:pPr>
              <w:pStyle w:val="Normalbulletsublist"/>
            </w:pPr>
            <w:r>
              <w:t xml:space="preserve">red </w:t>
            </w:r>
            <w:r w:rsidR="00516580">
              <w:t>–</w:t>
            </w:r>
            <w:r>
              <w:t xml:space="preserve"> purple (violet)</w:t>
            </w:r>
          </w:p>
          <w:p w14:paraId="647EB8EB" w14:textId="13FB3C6C" w:rsidR="001B1FFF" w:rsidRDefault="001B1FFF" w:rsidP="00F7291D">
            <w:pPr>
              <w:pStyle w:val="Normalbulletsublist"/>
            </w:pPr>
            <w:r>
              <w:t xml:space="preserve">red </w:t>
            </w:r>
            <w:r w:rsidR="00516580">
              <w:t xml:space="preserve">– </w:t>
            </w:r>
            <w:r>
              <w:t>orange</w:t>
            </w:r>
          </w:p>
          <w:p w14:paraId="6C88F472" w14:textId="2849A7AB" w:rsidR="001B1FFF" w:rsidRDefault="001B1FFF" w:rsidP="00F7291D">
            <w:pPr>
              <w:pStyle w:val="Normalbulletsublist"/>
            </w:pPr>
            <w:r>
              <w:t xml:space="preserve">yellow </w:t>
            </w:r>
            <w:r w:rsidR="00516580">
              <w:t>–</w:t>
            </w:r>
            <w:r>
              <w:t xml:space="preserve"> orange</w:t>
            </w:r>
          </w:p>
          <w:p w14:paraId="0895C55E" w14:textId="77777777" w:rsidR="00F7291D" w:rsidRDefault="00F7291D" w:rsidP="001B1FFF">
            <w:pPr>
              <w:pStyle w:val="Normalbulletlist"/>
              <w:spacing w:line="240" w:lineRule="auto"/>
            </w:pPr>
            <w:r>
              <w:t>Learners to understand that</w:t>
            </w:r>
            <w:r w:rsidR="001B1FFF">
              <w:t xml:space="preserve"> the above are achieved by mixing the</w:t>
            </w:r>
            <w:r>
              <w:t xml:space="preserve"> p</w:t>
            </w:r>
            <w:r w:rsidR="001B1FFF">
              <w:t xml:space="preserve">rimary with the </w:t>
            </w:r>
            <w:r>
              <w:t>s</w:t>
            </w:r>
            <w:r w:rsidR="001B1FFF">
              <w:t>econdary in the ratio of 2:1</w:t>
            </w:r>
            <w:r>
              <w:t xml:space="preserve">. </w:t>
            </w:r>
          </w:p>
          <w:p w14:paraId="3D524B4D" w14:textId="06B8BB7F" w:rsidR="001B1FFF" w:rsidRDefault="001B1FFF" w:rsidP="001B1FFF">
            <w:pPr>
              <w:pStyle w:val="Normalbulletlist"/>
              <w:spacing w:line="240" w:lineRule="auto"/>
            </w:pPr>
            <w:r>
              <w:t>Lea</w:t>
            </w:r>
            <w:r w:rsidR="00F7291D">
              <w:t>r</w:t>
            </w:r>
            <w:r>
              <w:t xml:space="preserve">ners should produce both </w:t>
            </w:r>
            <w:r w:rsidR="00F7291D">
              <w:t>t</w:t>
            </w:r>
            <w:r>
              <w:t>ertiary variances</w:t>
            </w:r>
            <w:r w:rsidR="00F7291D">
              <w:t xml:space="preserve"> </w:t>
            </w:r>
            <w:r>
              <w:t>as described above by mixing paints (e.g. poster paints / gouache) to produce both</w:t>
            </w:r>
            <w:r w:rsidR="00F7291D">
              <w:t xml:space="preserve"> </w:t>
            </w:r>
            <w:r>
              <w:t>types</w:t>
            </w:r>
            <w:r w:rsidR="002A4DA0">
              <w:t xml:space="preserve"> </w:t>
            </w:r>
            <w:r>
              <w:t>and review the resultant examples.</w:t>
            </w:r>
            <w:r w:rsidR="00F7291D">
              <w:t xml:space="preserve"> The methods to use are as follows:</w:t>
            </w:r>
          </w:p>
          <w:p w14:paraId="191FA510" w14:textId="2CB219F2" w:rsidR="001B1FFF" w:rsidRDefault="00F7291D" w:rsidP="00F7291D">
            <w:pPr>
              <w:pStyle w:val="Normalbulletsublist"/>
            </w:pPr>
            <w:r>
              <w:t>t</w:t>
            </w:r>
            <w:r w:rsidR="001B1FFF">
              <w:t xml:space="preserve">raditional method </w:t>
            </w:r>
            <w:r w:rsidR="00516580">
              <w:t>–</w:t>
            </w:r>
            <w:r w:rsidR="001B1FFF">
              <w:t xml:space="preserve"> </w:t>
            </w:r>
            <w:r>
              <w:t>r</w:t>
            </w:r>
            <w:r w:rsidR="001B1FFF">
              <w:t>atio of 1:1</w:t>
            </w:r>
          </w:p>
          <w:p w14:paraId="05948667" w14:textId="479A360D" w:rsidR="001B1FFF" w:rsidRPr="00CD50CC" w:rsidRDefault="00F7291D" w:rsidP="00F7291D">
            <w:pPr>
              <w:pStyle w:val="Normalbulletsublist"/>
            </w:pPr>
            <w:r>
              <w:t>m</w:t>
            </w:r>
            <w:r w:rsidR="001B1FFF">
              <w:t xml:space="preserve">odern method </w:t>
            </w:r>
            <w:r w:rsidR="00516580">
              <w:t>–</w:t>
            </w:r>
            <w:r w:rsidR="001B1FFF">
              <w:t xml:space="preserve"> </w:t>
            </w:r>
            <w:r>
              <w:t>r</w:t>
            </w:r>
            <w:r w:rsidR="001B1FFF">
              <w:t>atio of 2:1</w:t>
            </w:r>
            <w:r>
              <w:t>.</w:t>
            </w:r>
          </w:p>
        </w:tc>
      </w:tr>
      <w:tr w:rsidR="001B1FFF" w:rsidRPr="00D979B1" w14:paraId="24BC335D" w14:textId="77777777" w:rsidTr="00106031">
        <w:tc>
          <w:tcPr>
            <w:tcW w:w="3627" w:type="dxa"/>
            <w:vMerge/>
            <w:tcMar>
              <w:top w:w="108" w:type="dxa"/>
              <w:bottom w:w="108" w:type="dxa"/>
            </w:tcMar>
          </w:tcPr>
          <w:p w14:paraId="71A0F004" w14:textId="59815DA1" w:rsidR="001B1FFF" w:rsidRPr="00CD50CC" w:rsidRDefault="001B1FFF" w:rsidP="0014772E">
            <w:pPr>
              <w:pStyle w:val="ListParagraph"/>
              <w:numPr>
                <w:ilvl w:val="0"/>
                <w:numId w:val="7"/>
              </w:numPr>
              <w:adjustRightInd w:val="0"/>
              <w:spacing w:line="240" w:lineRule="auto"/>
            </w:pPr>
          </w:p>
        </w:tc>
        <w:tc>
          <w:tcPr>
            <w:tcW w:w="3627" w:type="dxa"/>
            <w:tcMar>
              <w:top w:w="108" w:type="dxa"/>
              <w:bottom w:w="108" w:type="dxa"/>
            </w:tcMar>
          </w:tcPr>
          <w:p w14:paraId="64BFB36B" w14:textId="4F2746EC" w:rsidR="001B1FFF" w:rsidRPr="00CD50CC" w:rsidRDefault="001B1FFF" w:rsidP="0014772E">
            <w:pPr>
              <w:pStyle w:val="ListParagraph"/>
              <w:numPr>
                <w:ilvl w:val="1"/>
                <w:numId w:val="7"/>
              </w:numPr>
              <w:adjustRightInd w:val="0"/>
              <w:spacing w:line="240" w:lineRule="auto"/>
              <w:contextualSpacing w:val="0"/>
            </w:pPr>
            <w:r>
              <w:t>Schemes of colours on the colour wheel</w:t>
            </w:r>
          </w:p>
        </w:tc>
        <w:tc>
          <w:tcPr>
            <w:tcW w:w="7261" w:type="dxa"/>
            <w:tcMar>
              <w:top w:w="108" w:type="dxa"/>
              <w:bottom w:w="108" w:type="dxa"/>
            </w:tcMar>
          </w:tcPr>
          <w:p w14:paraId="31EB7C85" w14:textId="4827EE61" w:rsidR="00C315CA" w:rsidRDefault="00C315CA" w:rsidP="00C315CA">
            <w:pPr>
              <w:pStyle w:val="Normalbulletlist"/>
            </w:pPr>
            <w:r>
              <w:t>Learners should be able to define the following terms and be given worksheets to complete using paints (poster paints / gouache or</w:t>
            </w:r>
            <w:r w:rsidR="002A4DA0">
              <w:t xml:space="preserve"> </w:t>
            </w:r>
            <w:r>
              <w:t>digital / I.T. resources) which show each type of colour scheme:</w:t>
            </w:r>
          </w:p>
          <w:p w14:paraId="3214C997" w14:textId="46648AE7" w:rsidR="00C315CA" w:rsidRDefault="00BF74A8" w:rsidP="00C315CA">
            <w:pPr>
              <w:pStyle w:val="Normalbulletsublist"/>
            </w:pPr>
            <w:r>
              <w:t>a</w:t>
            </w:r>
            <w:r w:rsidR="00C315CA">
              <w:t>nalogous</w:t>
            </w:r>
            <w:r>
              <w:t xml:space="preserve"> / harmonious</w:t>
            </w:r>
          </w:p>
          <w:p w14:paraId="62868670" w14:textId="68040ACC" w:rsidR="00C315CA" w:rsidRDefault="00C315CA" w:rsidP="00C315CA">
            <w:pPr>
              <w:pStyle w:val="Normalbulletsublist"/>
            </w:pPr>
            <w:r>
              <w:t>complimentary</w:t>
            </w:r>
          </w:p>
          <w:p w14:paraId="5DE055B2" w14:textId="0B60B2AE" w:rsidR="00C315CA" w:rsidRDefault="00C315CA" w:rsidP="00C315CA">
            <w:pPr>
              <w:pStyle w:val="Normalbulletsublist"/>
            </w:pPr>
            <w:r>
              <w:t>monochromatic</w:t>
            </w:r>
          </w:p>
          <w:p w14:paraId="024473CC" w14:textId="60F0D1C2" w:rsidR="00C315CA" w:rsidRDefault="00C315CA" w:rsidP="00C315CA">
            <w:pPr>
              <w:pStyle w:val="Normalbulletsublist"/>
            </w:pPr>
            <w:r>
              <w:t>achromatic.</w:t>
            </w:r>
          </w:p>
          <w:p w14:paraId="21CF31F4" w14:textId="0A958091" w:rsidR="001B1FFF" w:rsidRPr="00CD50CC" w:rsidRDefault="00C315CA" w:rsidP="00942ACF">
            <w:pPr>
              <w:pStyle w:val="Normalbulletlist"/>
            </w:pPr>
            <w:r>
              <w:lastRenderedPageBreak/>
              <w:t xml:space="preserve">Learners to use worksheets which include domestic dwelling </w:t>
            </w:r>
            <w:r w:rsidR="00942ACF">
              <w:t xml:space="preserve">and </w:t>
            </w:r>
            <w:r>
              <w:t xml:space="preserve">commercial premises interior rooms, or exteriors which will enable the </w:t>
            </w:r>
            <w:r w:rsidR="00942ACF">
              <w:t>l</w:t>
            </w:r>
            <w:r>
              <w:t>earner to apply</w:t>
            </w:r>
            <w:r w:rsidR="00942ACF">
              <w:t xml:space="preserve"> </w:t>
            </w:r>
            <w:r>
              <w:t>colour schemes which suit each location.</w:t>
            </w:r>
          </w:p>
        </w:tc>
      </w:tr>
      <w:tr w:rsidR="001B1FFF" w:rsidRPr="00D979B1" w14:paraId="2C9C32BB" w14:textId="77777777" w:rsidTr="00106031">
        <w:tc>
          <w:tcPr>
            <w:tcW w:w="3627" w:type="dxa"/>
            <w:vMerge w:val="restart"/>
            <w:tcMar>
              <w:top w:w="108" w:type="dxa"/>
              <w:bottom w:w="108" w:type="dxa"/>
            </w:tcMar>
          </w:tcPr>
          <w:p w14:paraId="654FB670" w14:textId="4F9D69C9" w:rsidR="001B1FFF" w:rsidRPr="00CD50CC" w:rsidRDefault="001B1FFF" w:rsidP="0014772E">
            <w:pPr>
              <w:pStyle w:val="ListParagraph"/>
              <w:numPr>
                <w:ilvl w:val="0"/>
                <w:numId w:val="7"/>
              </w:numPr>
              <w:adjustRightInd w:val="0"/>
              <w:spacing w:line="240" w:lineRule="auto"/>
              <w:contextualSpacing w:val="0"/>
            </w:pPr>
            <w:r>
              <w:lastRenderedPageBreak/>
              <w:t>Colour organisational systems and terminolog</w:t>
            </w:r>
            <w:r w:rsidR="002A4DA0">
              <w:t>y</w:t>
            </w:r>
          </w:p>
        </w:tc>
        <w:tc>
          <w:tcPr>
            <w:tcW w:w="3627" w:type="dxa"/>
            <w:tcMar>
              <w:top w:w="108" w:type="dxa"/>
              <w:bottom w:w="108" w:type="dxa"/>
            </w:tcMar>
          </w:tcPr>
          <w:p w14:paraId="1CEED745" w14:textId="53886CC6" w:rsidR="001B1FFF" w:rsidRPr="00CD50CC" w:rsidRDefault="001B1FFF" w:rsidP="0014772E">
            <w:pPr>
              <w:pStyle w:val="ListParagraph"/>
              <w:numPr>
                <w:ilvl w:val="1"/>
                <w:numId w:val="7"/>
              </w:numPr>
              <w:adjustRightInd w:val="0"/>
              <w:spacing w:line="240" w:lineRule="auto"/>
              <w:contextualSpacing w:val="0"/>
            </w:pPr>
            <w:r>
              <w:t>Organisational systems used in industry</w:t>
            </w:r>
          </w:p>
        </w:tc>
        <w:tc>
          <w:tcPr>
            <w:tcW w:w="7261" w:type="dxa"/>
            <w:tcMar>
              <w:top w:w="108" w:type="dxa"/>
              <w:bottom w:w="108" w:type="dxa"/>
            </w:tcMar>
          </w:tcPr>
          <w:p w14:paraId="6FCBA1E6" w14:textId="6C62D757" w:rsidR="00A80925" w:rsidRDefault="00A80925" w:rsidP="00A80925">
            <w:pPr>
              <w:pStyle w:val="Normalbulletlist"/>
            </w:pPr>
            <w:r>
              <w:t xml:space="preserve">Learners will understand the following </w:t>
            </w:r>
            <w:r w:rsidR="00437B7E">
              <w:t>‘</w:t>
            </w:r>
            <w:r>
              <w:t>systems of colour</w:t>
            </w:r>
            <w:r w:rsidR="00437B7E">
              <w:t>’</w:t>
            </w:r>
            <w:r>
              <w:t xml:space="preserve"> and how they are organised to be of use in industry, by interaction / discussion with tutors:</w:t>
            </w:r>
          </w:p>
          <w:p w14:paraId="720EDBE1" w14:textId="7C781698" w:rsidR="00A80925" w:rsidRDefault="00A80925" w:rsidP="00A80925">
            <w:pPr>
              <w:pStyle w:val="Normalbulletsublist"/>
            </w:pPr>
            <w:r>
              <w:t xml:space="preserve">BS 5252 </w:t>
            </w:r>
            <w:r w:rsidR="00516580">
              <w:t>–</w:t>
            </w:r>
            <w:r>
              <w:t xml:space="preserve"> Framework for Colour</w:t>
            </w:r>
          </w:p>
          <w:p w14:paraId="3F163329" w14:textId="77777777" w:rsidR="00A80925" w:rsidRDefault="00A80925" w:rsidP="00A80925">
            <w:pPr>
              <w:pStyle w:val="Normalbulletsublist"/>
            </w:pPr>
            <w:r>
              <w:t>Co-ordination for Building Purposes</w:t>
            </w:r>
          </w:p>
          <w:p w14:paraId="3AE6D9D5" w14:textId="2607CA4C" w:rsidR="00A80925" w:rsidRDefault="00A80925" w:rsidP="00A80925">
            <w:pPr>
              <w:pStyle w:val="Normalbulletsublist"/>
            </w:pPr>
            <w:r>
              <w:t xml:space="preserve">BS 4800 </w:t>
            </w:r>
            <w:r w:rsidR="00516580">
              <w:t xml:space="preserve">– </w:t>
            </w:r>
            <w:r>
              <w:t>Paint Colours for Building Purposes (British system)</w:t>
            </w:r>
          </w:p>
          <w:p w14:paraId="453F9AAB" w14:textId="1ECB6CFB" w:rsidR="00A80925" w:rsidRDefault="00A80925" w:rsidP="00A80925">
            <w:pPr>
              <w:pStyle w:val="Normalbulletsublist"/>
            </w:pPr>
            <w:r>
              <w:t>Munsell Colour System (American)</w:t>
            </w:r>
          </w:p>
          <w:p w14:paraId="341D673E" w14:textId="13E88095" w:rsidR="00A80925" w:rsidRDefault="00A80925" w:rsidP="00A80925">
            <w:pPr>
              <w:pStyle w:val="Normalbulletsublist"/>
            </w:pPr>
            <w:r>
              <w:t>NCS System (Scand</w:t>
            </w:r>
            <w:r w:rsidR="00516580">
              <w:t>i</w:t>
            </w:r>
            <w:r>
              <w:t>navian)</w:t>
            </w:r>
          </w:p>
          <w:p w14:paraId="670E762F" w14:textId="35903BB7" w:rsidR="00A80925" w:rsidRDefault="00A80925" w:rsidP="00A80925">
            <w:pPr>
              <w:pStyle w:val="Normalbulletsublist"/>
            </w:pPr>
            <w:r>
              <w:t>RAL Design System (German)</w:t>
            </w:r>
          </w:p>
          <w:p w14:paraId="46EF522D" w14:textId="43C740BF" w:rsidR="00A80925" w:rsidRDefault="00A80925" w:rsidP="00A80925">
            <w:pPr>
              <w:pStyle w:val="Normalbulletlist"/>
            </w:pPr>
            <w:r>
              <w:t xml:space="preserve">Learners must be able to explain why each system uses a </w:t>
            </w:r>
            <w:r w:rsidR="00437B7E">
              <w:t>‘</w:t>
            </w:r>
            <w:r>
              <w:t>referencing system</w:t>
            </w:r>
            <w:r w:rsidR="00437B7E">
              <w:t>’</w:t>
            </w:r>
            <w:r>
              <w:t xml:space="preserve"> rather than just colour </w:t>
            </w:r>
            <w:r w:rsidR="00437B7E">
              <w:t>‘</w:t>
            </w:r>
            <w:r>
              <w:t>names</w:t>
            </w:r>
            <w:r w:rsidR="00437B7E">
              <w:t>’</w:t>
            </w:r>
            <w:r>
              <w:t xml:space="preserve"> and be able to decipher each system to recognise individual colours.</w:t>
            </w:r>
          </w:p>
          <w:p w14:paraId="6BC2D617" w14:textId="42F4EA15" w:rsidR="001B1FFF" w:rsidRPr="00CD50CC" w:rsidRDefault="00A80925" w:rsidP="00A80925">
            <w:pPr>
              <w:pStyle w:val="Normalbulletlist"/>
              <w:spacing w:line="240" w:lineRule="auto"/>
            </w:pPr>
            <w:r>
              <w:t xml:space="preserve">Learners should be able to utilise the information provided by the </w:t>
            </w:r>
            <w:r w:rsidR="00437B7E">
              <w:t>‘</w:t>
            </w:r>
            <w:r>
              <w:t>SYSTEM Reference Number / Code</w:t>
            </w:r>
            <w:r w:rsidR="00437B7E">
              <w:t>’</w:t>
            </w:r>
            <w:r>
              <w:t xml:space="preserve"> when mixing colours.</w:t>
            </w:r>
          </w:p>
        </w:tc>
      </w:tr>
      <w:tr w:rsidR="002A4DA0" w:rsidRPr="00D979B1" w14:paraId="3EA02EA5" w14:textId="77777777" w:rsidTr="00106031">
        <w:tc>
          <w:tcPr>
            <w:tcW w:w="3627" w:type="dxa"/>
            <w:vMerge/>
            <w:tcMar>
              <w:top w:w="108" w:type="dxa"/>
              <w:bottom w:w="108" w:type="dxa"/>
            </w:tcMar>
          </w:tcPr>
          <w:p w14:paraId="6BF5E3FB" w14:textId="77777777" w:rsidR="002A4DA0" w:rsidRPr="00CD50CC" w:rsidRDefault="002A4DA0" w:rsidP="0014772E">
            <w:pPr>
              <w:pStyle w:val="ListParagraph"/>
              <w:numPr>
                <w:ilvl w:val="0"/>
                <w:numId w:val="7"/>
              </w:numPr>
              <w:adjustRightInd w:val="0"/>
              <w:spacing w:line="240" w:lineRule="auto"/>
              <w:contextualSpacing w:val="0"/>
            </w:pPr>
          </w:p>
        </w:tc>
        <w:tc>
          <w:tcPr>
            <w:tcW w:w="3627" w:type="dxa"/>
            <w:tcMar>
              <w:top w:w="108" w:type="dxa"/>
              <w:bottom w:w="108" w:type="dxa"/>
            </w:tcMar>
          </w:tcPr>
          <w:p w14:paraId="5338179B" w14:textId="44348D27" w:rsidR="002A4DA0" w:rsidRDefault="002A4DA0" w:rsidP="0014772E">
            <w:pPr>
              <w:pStyle w:val="ListParagraph"/>
              <w:numPr>
                <w:ilvl w:val="1"/>
                <w:numId w:val="7"/>
              </w:numPr>
              <w:adjustRightInd w:val="0"/>
              <w:spacing w:line="240" w:lineRule="auto"/>
              <w:contextualSpacing w:val="0"/>
            </w:pPr>
            <w:r>
              <w:t>Terminology used in industry</w:t>
            </w:r>
          </w:p>
        </w:tc>
        <w:tc>
          <w:tcPr>
            <w:tcW w:w="7261" w:type="dxa"/>
            <w:tcMar>
              <w:top w:w="108" w:type="dxa"/>
              <w:bottom w:w="108" w:type="dxa"/>
            </w:tcMar>
          </w:tcPr>
          <w:p w14:paraId="1CFFAE0D" w14:textId="2AABC0DE" w:rsidR="002A4DA0" w:rsidRDefault="00BF74A8" w:rsidP="002A4DA0">
            <w:pPr>
              <w:pStyle w:val="Normalbulletlist"/>
            </w:pPr>
            <w:r>
              <w:t>Learners to be able to describe the following t</w:t>
            </w:r>
            <w:r w:rsidR="002A4DA0">
              <w:t>erminology</w:t>
            </w:r>
            <w:r>
              <w:t>:</w:t>
            </w:r>
          </w:p>
          <w:p w14:paraId="17C4EA96" w14:textId="3A8E47B1" w:rsidR="002A4DA0" w:rsidRDefault="002A4DA0" w:rsidP="002A4DA0">
            <w:pPr>
              <w:pStyle w:val="Normalbulletsublist"/>
            </w:pPr>
            <w:r>
              <w:t xml:space="preserve">Hue </w:t>
            </w:r>
            <w:r w:rsidR="003D0794">
              <w:t>–</w:t>
            </w:r>
            <w:r>
              <w:t xml:space="preserve"> another term for </w:t>
            </w:r>
            <w:r w:rsidR="00437B7E">
              <w:t>‘</w:t>
            </w:r>
            <w:r>
              <w:t>colour</w:t>
            </w:r>
            <w:r w:rsidR="00437B7E">
              <w:t>’</w:t>
            </w:r>
          </w:p>
          <w:p w14:paraId="7868495E" w14:textId="71AC3A36" w:rsidR="002A4DA0" w:rsidRDefault="002A4DA0" w:rsidP="002A4DA0">
            <w:pPr>
              <w:pStyle w:val="Normalbulletsublist"/>
            </w:pPr>
            <w:r>
              <w:t xml:space="preserve">Value </w:t>
            </w:r>
            <w:r w:rsidR="003D0794">
              <w:t>–</w:t>
            </w:r>
            <w:r>
              <w:t xml:space="preserve"> lightness / light reflectance</w:t>
            </w:r>
          </w:p>
          <w:p w14:paraId="53D382EC" w14:textId="77421D4E" w:rsidR="002A4DA0" w:rsidRDefault="002A4DA0" w:rsidP="002A4DA0">
            <w:pPr>
              <w:pStyle w:val="Normalbulletsublist"/>
            </w:pPr>
            <w:r>
              <w:t xml:space="preserve">Chroma </w:t>
            </w:r>
            <w:r w:rsidR="003D0794">
              <w:t>–</w:t>
            </w:r>
            <w:r>
              <w:t xml:space="preserve"> purity of a colour or hue</w:t>
            </w:r>
          </w:p>
          <w:p w14:paraId="1D29000E" w14:textId="0486835B" w:rsidR="002A4DA0" w:rsidRDefault="002A4DA0" w:rsidP="002A4DA0">
            <w:pPr>
              <w:pStyle w:val="Normalbulletsublist"/>
            </w:pPr>
            <w:r>
              <w:t xml:space="preserve">Greyness </w:t>
            </w:r>
            <w:r w:rsidR="003D0794">
              <w:t>–</w:t>
            </w:r>
            <w:r>
              <w:t xml:space="preserve"> similar to </w:t>
            </w:r>
            <w:r w:rsidR="00437B7E">
              <w:t>‘</w:t>
            </w:r>
            <w:r>
              <w:t>value</w:t>
            </w:r>
            <w:r w:rsidR="00437B7E">
              <w:t>’</w:t>
            </w:r>
            <w:r>
              <w:t>; tone of a colour</w:t>
            </w:r>
          </w:p>
          <w:p w14:paraId="4E516716" w14:textId="1AFCA5D4" w:rsidR="002A4DA0" w:rsidRDefault="002A4DA0" w:rsidP="002A4DA0">
            <w:pPr>
              <w:pStyle w:val="Normalbulletsublist"/>
            </w:pPr>
            <w:r>
              <w:t xml:space="preserve">Weight </w:t>
            </w:r>
            <w:r w:rsidR="003D0794">
              <w:t>–</w:t>
            </w:r>
            <w:r>
              <w:t xml:space="preserve"> strength of a colour, similar to </w:t>
            </w:r>
            <w:r w:rsidR="00437B7E">
              <w:t>‘</w:t>
            </w:r>
            <w:r>
              <w:t>purity</w:t>
            </w:r>
            <w:r w:rsidR="00437B7E">
              <w:t>’</w:t>
            </w:r>
          </w:p>
          <w:p w14:paraId="035B3D04" w14:textId="0474AAB7" w:rsidR="002A4DA0" w:rsidRDefault="002A4DA0" w:rsidP="002A4DA0">
            <w:pPr>
              <w:pStyle w:val="Normalbulletsublist"/>
            </w:pPr>
            <w:r>
              <w:t xml:space="preserve">Natural order </w:t>
            </w:r>
            <w:r w:rsidR="003D0794">
              <w:t>–</w:t>
            </w:r>
            <w:r>
              <w:t xml:space="preserve"> the arrangement of pure colours in a circle in an orderly progression from light to dark tone (greyness)</w:t>
            </w:r>
          </w:p>
          <w:p w14:paraId="5E4072DB" w14:textId="0AC5DC6A" w:rsidR="002A4DA0" w:rsidRDefault="002A4DA0" w:rsidP="002A4DA0">
            <w:pPr>
              <w:pStyle w:val="Normalbulletsublist"/>
            </w:pPr>
            <w:r>
              <w:t xml:space="preserve">Saturation </w:t>
            </w:r>
            <w:r w:rsidR="003D0794">
              <w:t>–</w:t>
            </w:r>
            <w:r>
              <w:t xml:space="preserve"> strength / purity / intensity</w:t>
            </w:r>
          </w:p>
          <w:p w14:paraId="5D82A0EF" w14:textId="2FCA4088" w:rsidR="002A4DA0" w:rsidRDefault="002A4DA0" w:rsidP="002A4DA0">
            <w:pPr>
              <w:pStyle w:val="Normalbulletlist"/>
            </w:pPr>
            <w:r>
              <w:t>Learners will be able to provide examples of where, and by whom, the terms may be used in industry:</w:t>
            </w:r>
          </w:p>
          <w:p w14:paraId="7764D9DF" w14:textId="77777777" w:rsidR="002A4DA0" w:rsidRDefault="002A4DA0" w:rsidP="002A4DA0">
            <w:pPr>
              <w:pStyle w:val="Normalbulletsublist"/>
            </w:pPr>
            <w:r>
              <w:lastRenderedPageBreak/>
              <w:t>job specifications</w:t>
            </w:r>
          </w:p>
          <w:p w14:paraId="7307332C" w14:textId="77777777" w:rsidR="002A4DA0" w:rsidRDefault="002A4DA0" w:rsidP="002A4DA0">
            <w:pPr>
              <w:pStyle w:val="Normalbulletsublist"/>
            </w:pPr>
            <w:r>
              <w:t>colour schedules</w:t>
            </w:r>
          </w:p>
          <w:p w14:paraId="7643263A" w14:textId="77777777" w:rsidR="002A4DA0" w:rsidRDefault="002A4DA0" w:rsidP="002A4DA0">
            <w:pPr>
              <w:pStyle w:val="Normalbulletsublist"/>
            </w:pPr>
            <w:r>
              <w:t>architect's specifications</w:t>
            </w:r>
          </w:p>
          <w:p w14:paraId="091E7A08" w14:textId="7D1A5F72" w:rsidR="002A4DA0" w:rsidRDefault="002A4DA0" w:rsidP="002A4DA0">
            <w:pPr>
              <w:pStyle w:val="Normalbulletsublist"/>
            </w:pPr>
            <w:r>
              <w:t>manufacturers' colour consultants.</w:t>
            </w:r>
          </w:p>
          <w:p w14:paraId="2680CD39" w14:textId="04234CA1" w:rsidR="002A4DA0" w:rsidRDefault="002A4DA0" w:rsidP="002A4DA0">
            <w:pPr>
              <w:pStyle w:val="Normalbulletlist"/>
            </w:pPr>
            <w:r>
              <w:t>Learners should produce colour schemes to given specifications (using poster paints / gouache) to meet the following colour criteria:</w:t>
            </w:r>
          </w:p>
          <w:p w14:paraId="364DBCBA" w14:textId="77777777" w:rsidR="002A4DA0" w:rsidRDefault="002A4DA0" w:rsidP="002A4DA0">
            <w:pPr>
              <w:pStyle w:val="Normalbulletsublist"/>
            </w:pPr>
            <w:r>
              <w:t>warm colours</w:t>
            </w:r>
          </w:p>
          <w:p w14:paraId="5F4E0E2D" w14:textId="77777777" w:rsidR="002A4DA0" w:rsidRDefault="002A4DA0" w:rsidP="002A4DA0">
            <w:pPr>
              <w:pStyle w:val="Normalbulletsublist"/>
            </w:pPr>
            <w:r>
              <w:t>advancing colours</w:t>
            </w:r>
          </w:p>
          <w:p w14:paraId="5082AFAF" w14:textId="77777777" w:rsidR="002A4DA0" w:rsidRDefault="002A4DA0" w:rsidP="002A4DA0">
            <w:pPr>
              <w:pStyle w:val="Normalbulletsublist"/>
            </w:pPr>
            <w:r>
              <w:t>cool colours</w:t>
            </w:r>
          </w:p>
          <w:p w14:paraId="409AB686" w14:textId="77777777" w:rsidR="002A4DA0" w:rsidRDefault="002A4DA0" w:rsidP="002A4DA0">
            <w:pPr>
              <w:pStyle w:val="Normalbulletsublist"/>
            </w:pPr>
            <w:r>
              <w:t>receding colours</w:t>
            </w:r>
          </w:p>
          <w:p w14:paraId="29EE863A" w14:textId="667A7D3C" w:rsidR="002A4DA0" w:rsidRPr="00CD50CC" w:rsidRDefault="002A4DA0" w:rsidP="002A4DA0">
            <w:pPr>
              <w:pStyle w:val="Normalbulletsublist"/>
            </w:pPr>
            <w:r>
              <w:t>and be able to explain the benefits of their use in given situations.</w:t>
            </w:r>
          </w:p>
        </w:tc>
      </w:tr>
      <w:tr w:rsidR="002A4DA0" w:rsidRPr="00D979B1" w14:paraId="45782621" w14:textId="77777777" w:rsidTr="00106031">
        <w:tc>
          <w:tcPr>
            <w:tcW w:w="3627" w:type="dxa"/>
            <w:vMerge/>
            <w:tcMar>
              <w:top w:w="108" w:type="dxa"/>
              <w:bottom w:w="108" w:type="dxa"/>
            </w:tcMar>
          </w:tcPr>
          <w:p w14:paraId="25BC7E9C" w14:textId="77777777" w:rsidR="002A4DA0" w:rsidRPr="00CD50CC" w:rsidRDefault="002A4DA0" w:rsidP="0014772E">
            <w:pPr>
              <w:pStyle w:val="ListParagraph"/>
              <w:numPr>
                <w:ilvl w:val="0"/>
                <w:numId w:val="7"/>
              </w:numPr>
              <w:adjustRightInd w:val="0"/>
              <w:spacing w:line="240" w:lineRule="auto"/>
              <w:contextualSpacing w:val="0"/>
            </w:pPr>
          </w:p>
        </w:tc>
        <w:tc>
          <w:tcPr>
            <w:tcW w:w="3627" w:type="dxa"/>
            <w:tcMar>
              <w:top w:w="108" w:type="dxa"/>
              <w:bottom w:w="108" w:type="dxa"/>
            </w:tcMar>
          </w:tcPr>
          <w:p w14:paraId="4B51F07A" w14:textId="14D7CDA0" w:rsidR="002A4DA0" w:rsidRDefault="002A4DA0" w:rsidP="0014772E">
            <w:pPr>
              <w:pStyle w:val="ListParagraph"/>
              <w:numPr>
                <w:ilvl w:val="1"/>
                <w:numId w:val="7"/>
              </w:numPr>
              <w:adjustRightInd w:val="0"/>
              <w:spacing w:line="240" w:lineRule="auto"/>
              <w:contextualSpacing w:val="0"/>
            </w:pPr>
            <w:r>
              <w:t>Mixing colours</w:t>
            </w:r>
          </w:p>
        </w:tc>
        <w:tc>
          <w:tcPr>
            <w:tcW w:w="7261" w:type="dxa"/>
            <w:tcMar>
              <w:top w:w="108" w:type="dxa"/>
              <w:bottom w:w="108" w:type="dxa"/>
            </w:tcMar>
          </w:tcPr>
          <w:p w14:paraId="724B763F" w14:textId="77777777" w:rsidR="004A6E5F" w:rsidRDefault="004A6E5F" w:rsidP="004A6E5F">
            <w:pPr>
              <w:pStyle w:val="Normalbulletlist"/>
            </w:pPr>
            <w:r>
              <w:t>Learners should be able to describe the effects on the hue / chroma by the addition of white / grey / black to a colour, and where they would be beneficial in use, including tints and shades.</w:t>
            </w:r>
          </w:p>
          <w:p w14:paraId="0B56B366" w14:textId="3A352A60" w:rsidR="004A6E5F" w:rsidRPr="004A6E5F" w:rsidRDefault="004A6E5F" w:rsidP="004A6E5F">
            <w:pPr>
              <w:pStyle w:val="Normalbulletlist"/>
              <w:spacing w:line="240" w:lineRule="auto"/>
            </w:pPr>
            <w:r w:rsidRPr="004A6E5F">
              <w:rPr>
                <w:color w:val="000000"/>
              </w:rPr>
              <w:t xml:space="preserve">Learners should be able to use the Munsell Colour System to calculate the </w:t>
            </w:r>
            <w:r w:rsidR="00437B7E">
              <w:rPr>
                <w:color w:val="000000"/>
              </w:rPr>
              <w:t>‘</w:t>
            </w:r>
            <w:r w:rsidRPr="004A6E5F">
              <w:rPr>
                <w:color w:val="000000"/>
              </w:rPr>
              <w:t>Reflectance Factor / Value</w:t>
            </w:r>
            <w:r w:rsidR="00011869">
              <w:rPr>
                <w:color w:val="000000"/>
              </w:rPr>
              <w:t>’</w:t>
            </w:r>
            <w:r w:rsidRPr="004A6E5F">
              <w:rPr>
                <w:color w:val="000000"/>
              </w:rPr>
              <w:t xml:space="preserve"> of selected sample colours from the BS4800 Range</w:t>
            </w:r>
            <w:r>
              <w:rPr>
                <w:color w:val="000000"/>
              </w:rPr>
              <w:t xml:space="preserve">. </w:t>
            </w:r>
          </w:p>
          <w:p w14:paraId="21834EF1" w14:textId="20B73C8B" w:rsidR="002A4DA0" w:rsidRPr="00CD50CC" w:rsidRDefault="004A6E5F" w:rsidP="004A6E5F">
            <w:pPr>
              <w:pStyle w:val="Normalbulletlist"/>
              <w:spacing w:line="240" w:lineRule="auto"/>
            </w:pPr>
            <w:r>
              <w:rPr>
                <w:color w:val="000000"/>
              </w:rPr>
              <w:t>Learners to be able to</w:t>
            </w:r>
            <w:r w:rsidRPr="004A6E5F">
              <w:rPr>
                <w:color w:val="000000"/>
              </w:rPr>
              <w:t xml:space="preserve"> </w:t>
            </w:r>
            <w:r>
              <w:rPr>
                <w:color w:val="000000"/>
              </w:rPr>
              <w:t>u</w:t>
            </w:r>
            <w:r w:rsidRPr="004A6E5F">
              <w:rPr>
                <w:color w:val="000000"/>
              </w:rPr>
              <w:t>s</w:t>
            </w:r>
            <w:r>
              <w:rPr>
                <w:color w:val="000000"/>
              </w:rPr>
              <w:t>e</w:t>
            </w:r>
            <w:r w:rsidRPr="004A6E5F">
              <w:rPr>
                <w:color w:val="000000"/>
              </w:rPr>
              <w:t xml:space="preserve"> the formula </w:t>
            </w:r>
            <w:r w:rsidRPr="004A6E5F">
              <w:rPr>
                <w:i/>
                <w:iCs/>
                <w:color w:val="000000"/>
              </w:rPr>
              <w:t>V(V-1) = RF/RV</w:t>
            </w:r>
            <w:r w:rsidRPr="004A6E5F">
              <w:rPr>
                <w:color w:val="000000"/>
              </w:rPr>
              <w:t xml:space="preserve"> (where V = Munsell Colour Value) and be able to provide examples of where this</w:t>
            </w:r>
            <w:r>
              <w:rPr>
                <w:color w:val="000000"/>
              </w:rPr>
              <w:t xml:space="preserve"> knowledge would be useful.</w:t>
            </w:r>
          </w:p>
        </w:tc>
      </w:tr>
      <w:tr w:rsidR="00E4608D" w:rsidRPr="00D979B1" w14:paraId="0F4C2CBD" w14:textId="77777777" w:rsidTr="00106031">
        <w:tc>
          <w:tcPr>
            <w:tcW w:w="3627" w:type="dxa"/>
            <w:vMerge/>
            <w:tcMar>
              <w:top w:w="108" w:type="dxa"/>
              <w:bottom w:w="108" w:type="dxa"/>
            </w:tcMar>
          </w:tcPr>
          <w:p w14:paraId="3CD74F43" w14:textId="77777777" w:rsidR="00E4608D" w:rsidRPr="00CD50CC" w:rsidRDefault="00E4608D" w:rsidP="0014772E">
            <w:pPr>
              <w:pStyle w:val="ListParagraph"/>
              <w:numPr>
                <w:ilvl w:val="0"/>
                <w:numId w:val="7"/>
              </w:numPr>
              <w:adjustRightInd w:val="0"/>
              <w:spacing w:line="240" w:lineRule="auto"/>
              <w:contextualSpacing w:val="0"/>
            </w:pPr>
          </w:p>
        </w:tc>
        <w:tc>
          <w:tcPr>
            <w:tcW w:w="3627" w:type="dxa"/>
            <w:tcMar>
              <w:top w:w="108" w:type="dxa"/>
              <w:bottom w:w="108" w:type="dxa"/>
            </w:tcMar>
          </w:tcPr>
          <w:p w14:paraId="2B088798" w14:textId="039D3976" w:rsidR="00E4608D" w:rsidRDefault="00E4608D" w:rsidP="0014772E">
            <w:pPr>
              <w:pStyle w:val="ListParagraph"/>
              <w:numPr>
                <w:ilvl w:val="1"/>
                <w:numId w:val="7"/>
              </w:numPr>
              <w:adjustRightInd w:val="0"/>
              <w:spacing w:line="240" w:lineRule="auto"/>
              <w:contextualSpacing w:val="0"/>
            </w:pPr>
            <w:r>
              <w:t>Effects of light on colour</w:t>
            </w:r>
          </w:p>
        </w:tc>
        <w:tc>
          <w:tcPr>
            <w:tcW w:w="7261" w:type="dxa"/>
            <w:tcMar>
              <w:top w:w="108" w:type="dxa"/>
              <w:bottom w:w="108" w:type="dxa"/>
            </w:tcMar>
          </w:tcPr>
          <w:p w14:paraId="699B7255" w14:textId="4EE9E9C8" w:rsidR="00E4608D" w:rsidRDefault="00E4608D" w:rsidP="00E4608D">
            <w:pPr>
              <w:pStyle w:val="Normalbulletlist"/>
            </w:pPr>
            <w:r>
              <w:t>Learners should be able to describe the effects on colour by using the following related terminology:</w:t>
            </w:r>
          </w:p>
          <w:p w14:paraId="0B7E0511" w14:textId="77777777" w:rsidR="00E4608D" w:rsidRDefault="00E4608D" w:rsidP="00E4608D">
            <w:pPr>
              <w:pStyle w:val="Normalbulletsublist"/>
            </w:pPr>
            <w:r>
              <w:t>natural / white light</w:t>
            </w:r>
          </w:p>
          <w:p w14:paraId="7C951D03" w14:textId="2B787638" w:rsidR="00E4608D" w:rsidRDefault="00E4608D" w:rsidP="00E4608D">
            <w:pPr>
              <w:pStyle w:val="Normalbulletsublist"/>
            </w:pPr>
            <w:r>
              <w:t>visible spectrum (rainbow)</w:t>
            </w:r>
          </w:p>
          <w:p w14:paraId="77252B07" w14:textId="63A58F3E" w:rsidR="00E4608D" w:rsidRDefault="00E4608D" w:rsidP="00E4608D">
            <w:pPr>
              <w:pStyle w:val="Normalbulletsublist"/>
            </w:pPr>
            <w:r>
              <w:t>metamerism (and its effect on colours / schemes).</w:t>
            </w:r>
          </w:p>
          <w:p w14:paraId="7B3FC380" w14:textId="5865FF30" w:rsidR="00E4608D" w:rsidRDefault="00E4608D" w:rsidP="00E4608D">
            <w:pPr>
              <w:pStyle w:val="Normalbulletlist"/>
            </w:pPr>
            <w:r>
              <w:t>Learners should be able to describe the effects on colour when the following artificial light sources are used:</w:t>
            </w:r>
          </w:p>
          <w:p w14:paraId="583BF2F8" w14:textId="59772A77" w:rsidR="00E4608D" w:rsidRDefault="00E4608D" w:rsidP="00E4608D">
            <w:pPr>
              <w:pStyle w:val="Normalbulletsublist"/>
            </w:pPr>
            <w:r>
              <w:t xml:space="preserve">tungsten </w:t>
            </w:r>
            <w:r w:rsidR="003D0794">
              <w:t>–</w:t>
            </w:r>
            <w:r>
              <w:t xml:space="preserve"> yellow</w:t>
            </w:r>
            <w:r w:rsidR="00FE7DB5">
              <w:t xml:space="preserve"> </w:t>
            </w:r>
            <w:r>
              <w:t>/</w:t>
            </w:r>
            <w:r w:rsidR="00FE7DB5">
              <w:t xml:space="preserve"> </w:t>
            </w:r>
            <w:r>
              <w:t>red rays</w:t>
            </w:r>
          </w:p>
          <w:p w14:paraId="0EE4FC79" w14:textId="77777777" w:rsidR="00E4608D" w:rsidRDefault="00E4608D" w:rsidP="00E4608D">
            <w:pPr>
              <w:pStyle w:val="Normalbulletsublist"/>
            </w:pPr>
            <w:r>
              <w:lastRenderedPageBreak/>
              <w:t>fluorescent – ultra violet rays</w:t>
            </w:r>
          </w:p>
          <w:p w14:paraId="01B66269" w14:textId="6971DE61" w:rsidR="00E4608D" w:rsidRDefault="00E4608D" w:rsidP="00E4608D">
            <w:pPr>
              <w:pStyle w:val="Normalbulletsublist"/>
            </w:pPr>
            <w:r>
              <w:t xml:space="preserve">sodium </w:t>
            </w:r>
            <w:r w:rsidR="003D0794">
              <w:t>–</w:t>
            </w:r>
            <w:r>
              <w:t xml:space="preserve"> yellowish light rays</w:t>
            </w:r>
          </w:p>
          <w:p w14:paraId="4CEA0F50" w14:textId="506D1969" w:rsidR="00E4608D" w:rsidRDefault="00E4608D" w:rsidP="00E4608D">
            <w:pPr>
              <w:pStyle w:val="Normalbulletsublist"/>
            </w:pPr>
            <w:r>
              <w:t xml:space="preserve">LED </w:t>
            </w:r>
            <w:r w:rsidR="003D0794">
              <w:t>–</w:t>
            </w:r>
            <w:r>
              <w:t xml:space="preserve"> similar to tungsten rays</w:t>
            </w:r>
          </w:p>
          <w:p w14:paraId="4A5A609B" w14:textId="0474B9C0" w:rsidR="00E4608D" w:rsidRDefault="00E4608D" w:rsidP="00E4608D">
            <w:pPr>
              <w:pStyle w:val="Normalbulletsublist"/>
            </w:pPr>
            <w:r>
              <w:t xml:space="preserve">halogen </w:t>
            </w:r>
            <w:r w:rsidR="003D0794">
              <w:t>–</w:t>
            </w:r>
            <w:r>
              <w:t xml:space="preserve"> ultraviolet &gt; deep infrared rays</w:t>
            </w:r>
          </w:p>
          <w:p w14:paraId="08390469" w14:textId="0D069DBF" w:rsidR="00E4608D" w:rsidRDefault="00E4608D" w:rsidP="00E4608D">
            <w:pPr>
              <w:pStyle w:val="Normalbulletsublist"/>
            </w:pPr>
            <w:r>
              <w:t xml:space="preserve">ECO </w:t>
            </w:r>
            <w:r w:rsidR="003D0794">
              <w:t>–</w:t>
            </w:r>
            <w:r>
              <w:t xml:space="preserve"> similar rays to fluorescent.</w:t>
            </w:r>
          </w:p>
          <w:p w14:paraId="633D82D6" w14:textId="75AD5D34" w:rsidR="00E4608D" w:rsidRDefault="00E4608D" w:rsidP="00E4608D">
            <w:pPr>
              <w:pStyle w:val="Normalbulletlist"/>
            </w:pPr>
            <w:r>
              <w:t>Learners should know that the type of light rays given off by any light source will enhance the pigment colour of similar hue and tend to negate any contrasting colour in a scheme. For example, tungsten light will enhance red pigment colours, but make green almost colourless / black in appearance.</w:t>
            </w:r>
          </w:p>
          <w:p w14:paraId="0146AC49" w14:textId="4D470C33" w:rsidR="00E4608D" w:rsidRPr="00CD50CC" w:rsidRDefault="00E4608D" w:rsidP="00E4608D">
            <w:pPr>
              <w:pStyle w:val="Normalbulletlist"/>
            </w:pPr>
            <w:r>
              <w:t xml:space="preserve">Learners must know that lighting technology enables manufacturers to </w:t>
            </w:r>
            <w:r w:rsidR="00437B7E">
              <w:t>‘</w:t>
            </w:r>
            <w:r>
              <w:t>alter</w:t>
            </w:r>
            <w:r w:rsidR="00437B7E">
              <w:t>’</w:t>
            </w:r>
            <w:r>
              <w:t xml:space="preserve"> the light rays given off by modern lighting (e.g. halogen lamps).</w:t>
            </w:r>
          </w:p>
        </w:tc>
      </w:tr>
      <w:tr w:rsidR="00093A46" w:rsidRPr="00D979B1" w14:paraId="3B39B472" w14:textId="77777777" w:rsidTr="00106031">
        <w:tc>
          <w:tcPr>
            <w:tcW w:w="3627" w:type="dxa"/>
            <w:vMerge w:val="restart"/>
            <w:tcMar>
              <w:top w:w="108" w:type="dxa"/>
              <w:bottom w:w="108" w:type="dxa"/>
            </w:tcMar>
          </w:tcPr>
          <w:p w14:paraId="2BC5D9A3" w14:textId="5E766BB4" w:rsidR="00093A46" w:rsidRPr="00CD50CC" w:rsidRDefault="00093A46" w:rsidP="0014772E">
            <w:pPr>
              <w:pStyle w:val="ListParagraph"/>
              <w:numPr>
                <w:ilvl w:val="0"/>
                <w:numId w:val="7"/>
              </w:numPr>
              <w:adjustRightInd w:val="0"/>
              <w:spacing w:line="240" w:lineRule="auto"/>
              <w:contextualSpacing w:val="0"/>
            </w:pPr>
            <w:r>
              <w:lastRenderedPageBreak/>
              <w:t>Comply with the given contract information to carry out the work efficiently to the required specification</w:t>
            </w:r>
          </w:p>
        </w:tc>
        <w:tc>
          <w:tcPr>
            <w:tcW w:w="3627" w:type="dxa"/>
            <w:tcMar>
              <w:top w:w="108" w:type="dxa"/>
              <w:bottom w:w="108" w:type="dxa"/>
            </w:tcMar>
          </w:tcPr>
          <w:p w14:paraId="603AFC22" w14:textId="015BD972" w:rsidR="00093A46" w:rsidRDefault="00093A46" w:rsidP="0014772E">
            <w:pPr>
              <w:pStyle w:val="ListParagraph"/>
              <w:numPr>
                <w:ilvl w:val="1"/>
                <w:numId w:val="7"/>
              </w:numPr>
              <w:adjustRightInd w:val="0"/>
              <w:spacing w:line="240" w:lineRule="auto"/>
              <w:contextualSpacing w:val="0"/>
            </w:pPr>
            <w:r>
              <w:t>Demonstration of work skills to identify, select, mix and adjus</w:t>
            </w:r>
            <w:r w:rsidR="00413BD1">
              <w:t>t</w:t>
            </w:r>
          </w:p>
        </w:tc>
        <w:tc>
          <w:tcPr>
            <w:tcW w:w="7261" w:type="dxa"/>
            <w:tcMar>
              <w:top w:w="108" w:type="dxa"/>
              <w:bottom w:w="108" w:type="dxa"/>
            </w:tcMar>
          </w:tcPr>
          <w:p w14:paraId="528AC750" w14:textId="438EF8B5" w:rsidR="00093A46" w:rsidRDefault="00093A46" w:rsidP="00093A46">
            <w:pPr>
              <w:pStyle w:val="Normalbulletlist"/>
            </w:pPr>
            <w:r>
              <w:t xml:space="preserve">Learners must know that the </w:t>
            </w:r>
            <w:r w:rsidR="00437B7E">
              <w:t>‘</w:t>
            </w:r>
            <w:r>
              <w:t>mixing</w:t>
            </w:r>
            <w:r w:rsidR="00437B7E">
              <w:t>’</w:t>
            </w:r>
            <w:r>
              <w:t xml:space="preserve"> of colour to produce a required hue is a specialised area of decorating which </w:t>
            </w:r>
            <w:r w:rsidR="003C65EF">
              <w:t xml:space="preserve">they </w:t>
            </w:r>
            <w:r>
              <w:t>will not be called upon to use very often. This is due to the wide range of colours in most types of water-borne and solvent-borne pigmented coatings.</w:t>
            </w:r>
          </w:p>
          <w:p w14:paraId="3A5CD45E" w14:textId="5809BE8C" w:rsidR="00093A46" w:rsidRDefault="00093A46" w:rsidP="00093A46">
            <w:pPr>
              <w:pStyle w:val="Normalbulletlist"/>
            </w:pPr>
            <w:r>
              <w:t>Learners must be made aware however, that they may have to call on these skills when preparing specific colours to match existing furnishings / wallcoverings, etc. in a room.</w:t>
            </w:r>
          </w:p>
          <w:p w14:paraId="6F3B50AA" w14:textId="0ECE721D" w:rsidR="00093A46" w:rsidRDefault="00093A46" w:rsidP="00093A46">
            <w:pPr>
              <w:pStyle w:val="Normalbulletlist"/>
            </w:pPr>
            <w:r>
              <w:t>Learners must be aware that the best method is to use an existing close matching colour from the proprietary colour palette of a paint manufacturer, making any alteration a minimalist change in hue / tone.</w:t>
            </w:r>
          </w:p>
          <w:p w14:paraId="02780A52" w14:textId="01B53116" w:rsidR="00093A46" w:rsidRPr="00093A46" w:rsidRDefault="00093A46" w:rsidP="00093A46">
            <w:pPr>
              <w:pStyle w:val="Normalbulletlist"/>
            </w:pPr>
            <w:r w:rsidRPr="00093A46">
              <w:t xml:space="preserve">Learners must also know that when </w:t>
            </w:r>
            <w:r w:rsidR="00437B7E">
              <w:t>‘</w:t>
            </w:r>
            <w:r w:rsidRPr="00093A46">
              <w:t>matching</w:t>
            </w:r>
            <w:r w:rsidR="00437B7E">
              <w:t>’</w:t>
            </w:r>
            <w:r>
              <w:t xml:space="preserve"> </w:t>
            </w:r>
            <w:r w:rsidRPr="00093A46">
              <w:t>colours, cognisance must be given not only to the</w:t>
            </w:r>
            <w:r>
              <w:t xml:space="preserve"> </w:t>
            </w:r>
            <w:r w:rsidRPr="00093A46">
              <w:t>pigmentation used, but also that the type of binder / medium of water-borne and solvent-borne coatings</w:t>
            </w:r>
            <w:r>
              <w:t xml:space="preserve"> </w:t>
            </w:r>
            <w:r w:rsidRPr="00093A46">
              <w:t xml:space="preserve">will also have </w:t>
            </w:r>
            <w:r>
              <w:t xml:space="preserve">a </w:t>
            </w:r>
            <w:r w:rsidRPr="00093A46">
              <w:t>differing effect on the dried colour.</w:t>
            </w:r>
          </w:p>
          <w:p w14:paraId="56CECF07" w14:textId="4C52B8CF" w:rsidR="00093A46" w:rsidRDefault="00093A46" w:rsidP="00093A46">
            <w:pPr>
              <w:pStyle w:val="Normalbulletlist"/>
            </w:pPr>
            <w:r>
              <w:lastRenderedPageBreak/>
              <w:t>Learners must be aware of the factors which could influence any colour mixing processes and influence the final colour matched samples, including:</w:t>
            </w:r>
          </w:p>
          <w:p w14:paraId="56E91795" w14:textId="77777777" w:rsidR="00093A46" w:rsidRDefault="00093A46" w:rsidP="00093A46">
            <w:pPr>
              <w:pStyle w:val="Normalbulletsublist"/>
            </w:pPr>
            <w:r>
              <w:t>lighting in mixing area</w:t>
            </w:r>
          </w:p>
          <w:p w14:paraId="473A9961" w14:textId="77777777" w:rsidR="00093A46" w:rsidRDefault="00093A46" w:rsidP="00093A46">
            <w:pPr>
              <w:pStyle w:val="Normalbulletsublist"/>
            </w:pPr>
            <w:r>
              <w:t>lighting type in application area</w:t>
            </w:r>
          </w:p>
          <w:p w14:paraId="2E1AE772" w14:textId="1C88C9B3" w:rsidR="00093A46" w:rsidRDefault="00093A46" w:rsidP="00093A46">
            <w:pPr>
              <w:pStyle w:val="Normalbulletsublist"/>
            </w:pPr>
            <w:r>
              <w:t>type of binder.</w:t>
            </w:r>
          </w:p>
          <w:p w14:paraId="07E20208" w14:textId="77777777" w:rsidR="00093A46" w:rsidRDefault="00093A46" w:rsidP="00093A46">
            <w:pPr>
              <w:pStyle w:val="Normalbulletlist"/>
            </w:pPr>
            <w:r>
              <w:t>Learners must know that samples should be agreed with the client before any application of the material to surfaces.</w:t>
            </w:r>
          </w:p>
          <w:p w14:paraId="416A6833" w14:textId="7F14AD95" w:rsidR="003C65EF" w:rsidRPr="006B5440" w:rsidRDefault="003C65EF" w:rsidP="006B5440">
            <w:pPr>
              <w:pStyle w:val="Normalbulletlist"/>
            </w:pPr>
            <w:r w:rsidRPr="006B5440">
              <w:t xml:space="preserve">Learners, working in pairs, should be given a sample of a wallcovering (e.g. full width and 1 full pattern repeat) and be tasked with producing a simple </w:t>
            </w:r>
            <w:r w:rsidR="00437B7E">
              <w:t>‘</w:t>
            </w:r>
            <w:r w:rsidRPr="006B5440">
              <w:t>Mood Board</w:t>
            </w:r>
            <w:r w:rsidR="00437B7E">
              <w:t>’</w:t>
            </w:r>
            <w:r w:rsidRPr="006B5440">
              <w:t>. This will also have an attached colour scheme, relative to and including the wallcovering, for a given type of domestic room situation (e.g. kitchen, lounge, dining room, bedroom, etc.).</w:t>
            </w:r>
          </w:p>
          <w:p w14:paraId="2A2C36A2" w14:textId="08419949" w:rsidR="003C65EF" w:rsidRPr="00F32935" w:rsidRDefault="003C65EF" w:rsidP="003C65EF">
            <w:pPr>
              <w:pStyle w:val="Normalbulletsublist"/>
            </w:pPr>
            <w:r w:rsidRPr="00F32935">
              <w:t>Scheme to include colours for ceiling, walls, door, windows / linear work, feature areas, etc.</w:t>
            </w:r>
          </w:p>
          <w:p w14:paraId="7D38B0FA" w14:textId="55DA9EB6" w:rsidR="003C65EF" w:rsidRPr="00F32935" w:rsidRDefault="003C65EF" w:rsidP="003C65EF">
            <w:pPr>
              <w:pStyle w:val="Normalbulletsublist"/>
            </w:pPr>
            <w:r w:rsidRPr="00F32935">
              <w:t>The scheme should be one from the listed types (analogous, complimentary, monochromatic) to include hues in the advancing / receding, warm / cool ranges where appropriate.</w:t>
            </w:r>
          </w:p>
          <w:p w14:paraId="02EA55A5" w14:textId="4FC361C4" w:rsidR="003C65EF" w:rsidRPr="00F32935" w:rsidRDefault="003C65EF" w:rsidP="003C65EF">
            <w:pPr>
              <w:pStyle w:val="Normalbulletsublist"/>
            </w:pPr>
            <w:r w:rsidRPr="00F32935">
              <w:t xml:space="preserve">Using the same wallcovering sample, the colour scheme can be changed for each pair of </w:t>
            </w:r>
            <w:r w:rsidR="00DE7859">
              <w:t>l</w:t>
            </w:r>
            <w:r w:rsidRPr="00F32935">
              <w:t>earners to accommodate other types of colour / decorative schemes.</w:t>
            </w:r>
          </w:p>
          <w:p w14:paraId="51E78DDA" w14:textId="68F65669" w:rsidR="003C65EF" w:rsidRPr="00CD50CC" w:rsidRDefault="003C65EF" w:rsidP="003C65EF">
            <w:pPr>
              <w:pStyle w:val="Normalbulletsublist"/>
            </w:pPr>
            <w:r w:rsidRPr="00F32935">
              <w:t xml:space="preserve">Each pair to present one </w:t>
            </w:r>
            <w:r w:rsidR="00DE7859">
              <w:t>m</w:t>
            </w:r>
            <w:r w:rsidRPr="00F32935">
              <w:t xml:space="preserve">ood </w:t>
            </w:r>
            <w:r w:rsidR="00DE7859">
              <w:t>b</w:t>
            </w:r>
            <w:r w:rsidRPr="00F32935">
              <w:t xml:space="preserve">oard / </w:t>
            </w:r>
            <w:r w:rsidR="00DE7859">
              <w:t>c</w:t>
            </w:r>
            <w:r w:rsidRPr="00F32935">
              <w:t xml:space="preserve">olour scheme to the others in their group (acting as the </w:t>
            </w:r>
            <w:r w:rsidR="00DE7859">
              <w:t>c</w:t>
            </w:r>
            <w:r w:rsidRPr="00F32935">
              <w:t>ustomer) and explain their choices of colour relating to the specification given as above.</w:t>
            </w:r>
          </w:p>
        </w:tc>
      </w:tr>
      <w:tr w:rsidR="00093A46" w:rsidRPr="00D979B1" w14:paraId="1F08EBE6" w14:textId="77777777" w:rsidTr="00106031">
        <w:tc>
          <w:tcPr>
            <w:tcW w:w="3627" w:type="dxa"/>
            <w:vMerge/>
            <w:tcMar>
              <w:top w:w="108" w:type="dxa"/>
              <w:bottom w:w="108" w:type="dxa"/>
            </w:tcMar>
          </w:tcPr>
          <w:p w14:paraId="74111422" w14:textId="77777777" w:rsidR="00093A46" w:rsidRPr="00CD50CC" w:rsidRDefault="00093A46" w:rsidP="0014772E">
            <w:pPr>
              <w:pStyle w:val="ListParagraph"/>
              <w:numPr>
                <w:ilvl w:val="0"/>
                <w:numId w:val="7"/>
              </w:numPr>
              <w:adjustRightInd w:val="0"/>
              <w:spacing w:line="240" w:lineRule="auto"/>
              <w:contextualSpacing w:val="0"/>
            </w:pPr>
          </w:p>
        </w:tc>
        <w:tc>
          <w:tcPr>
            <w:tcW w:w="3627" w:type="dxa"/>
            <w:tcMar>
              <w:top w:w="108" w:type="dxa"/>
              <w:bottom w:w="108" w:type="dxa"/>
            </w:tcMar>
          </w:tcPr>
          <w:p w14:paraId="4E3E60E6" w14:textId="0DB374F1" w:rsidR="00093A46" w:rsidRPr="00CD50CC" w:rsidRDefault="00093A46" w:rsidP="0014772E">
            <w:pPr>
              <w:pStyle w:val="ListParagraph"/>
              <w:numPr>
                <w:ilvl w:val="1"/>
                <w:numId w:val="7"/>
              </w:numPr>
              <w:adjustRightInd w:val="0"/>
              <w:spacing w:line="240" w:lineRule="auto"/>
              <w:contextualSpacing w:val="0"/>
            </w:pPr>
            <w:r>
              <w:t xml:space="preserve">Use and maintain hand tools and associated equipment to apply agreed colour </w:t>
            </w:r>
            <w:r>
              <w:lastRenderedPageBreak/>
              <w:t>schemes to internal surfaces by brush and/or roller</w:t>
            </w:r>
          </w:p>
        </w:tc>
        <w:tc>
          <w:tcPr>
            <w:tcW w:w="7261" w:type="dxa"/>
            <w:tcMar>
              <w:top w:w="108" w:type="dxa"/>
              <w:bottom w:w="108" w:type="dxa"/>
            </w:tcMar>
          </w:tcPr>
          <w:p w14:paraId="4EAF7907" w14:textId="6D95531D" w:rsidR="00353F1D" w:rsidRDefault="00353F1D" w:rsidP="00353F1D">
            <w:pPr>
              <w:pStyle w:val="Normalbulletlist"/>
            </w:pPr>
            <w:r w:rsidRPr="00353F1D">
              <w:lastRenderedPageBreak/>
              <w:t xml:space="preserve">Learners will </w:t>
            </w:r>
            <w:r w:rsidR="006B5440">
              <w:t xml:space="preserve">be able to </w:t>
            </w:r>
            <w:r w:rsidR="008F3FA9">
              <w:t xml:space="preserve">decant an appropriate (minimal) quantity of paint sample required to apply to one door and alter it as a tint / shade as directed by </w:t>
            </w:r>
            <w:r w:rsidR="006B5440">
              <w:t xml:space="preserve">the </w:t>
            </w:r>
            <w:r w:rsidR="008F3FA9">
              <w:t>specification given</w:t>
            </w:r>
            <w:r w:rsidRPr="00353F1D">
              <w:t xml:space="preserve">. </w:t>
            </w:r>
          </w:p>
          <w:p w14:paraId="28D7F0A6" w14:textId="77777777" w:rsidR="00353F1D" w:rsidRDefault="00353F1D" w:rsidP="00093A46">
            <w:pPr>
              <w:pStyle w:val="Normalbulletlist"/>
            </w:pPr>
            <w:r w:rsidRPr="00353F1D">
              <w:lastRenderedPageBreak/>
              <w:t xml:space="preserve">Learners will be able to apply colour schemes to surfaces using brush and roller, with minimal defects, as per specification. </w:t>
            </w:r>
          </w:p>
          <w:p w14:paraId="4914AB8A" w14:textId="3905A6AC" w:rsidR="00353F1D" w:rsidRDefault="00353F1D" w:rsidP="00093A46">
            <w:pPr>
              <w:pStyle w:val="Normalbulletlist"/>
            </w:pPr>
            <w:r w:rsidRPr="00353F1D">
              <w:t xml:space="preserve">Learners should be able to match the samples accurately to take into account the lighting source in the work area. </w:t>
            </w:r>
          </w:p>
          <w:p w14:paraId="2AEB4B53" w14:textId="77777777" w:rsidR="00093A46" w:rsidRDefault="00353F1D" w:rsidP="00093A46">
            <w:pPr>
              <w:pStyle w:val="Normalbulletlist"/>
            </w:pPr>
            <w:r w:rsidRPr="00353F1D">
              <w:t>Learners should select appropriate access equipment and safely work from it.</w:t>
            </w:r>
          </w:p>
          <w:p w14:paraId="4A183DD5" w14:textId="784B56CD" w:rsidR="00BF74A8" w:rsidRPr="00CD50CC" w:rsidRDefault="00BF74A8" w:rsidP="00BF74A8">
            <w:pPr>
              <w:pStyle w:val="Normalbulletlist"/>
            </w:pPr>
            <w:r>
              <w:t>Learners to demonstrate how to appropriately clean, maintain and store all equipment.</w:t>
            </w:r>
          </w:p>
        </w:tc>
      </w:tr>
    </w:tbl>
    <w:p w14:paraId="3E3F30D3" w14:textId="77777777" w:rsidR="0098637D" w:rsidRPr="00E26CCE" w:rsidRDefault="0098637D" w:rsidP="00E26CCE"/>
    <w:sectPr w:rsidR="0098637D" w:rsidRPr="00E26CCE" w:rsidSect="006C0843">
      <w:headerReference w:type="even" r:id="rId2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CBCCA" w14:textId="77777777" w:rsidR="00C368DB" w:rsidRDefault="00C368DB">
      <w:pPr>
        <w:spacing w:before="0" w:after="0"/>
      </w:pPr>
      <w:r>
        <w:separator/>
      </w:r>
    </w:p>
  </w:endnote>
  <w:endnote w:type="continuationSeparator" w:id="0">
    <w:p w14:paraId="0F5F9258" w14:textId="77777777" w:rsidR="00C368DB" w:rsidRDefault="00C368DB">
      <w:pPr>
        <w:spacing w:before="0" w:after="0"/>
      </w:pPr>
      <w:r>
        <w:continuationSeparator/>
      </w:r>
    </w:p>
  </w:endnote>
  <w:endnote w:type="continuationNotice" w:id="1">
    <w:p w14:paraId="5DBCB589" w14:textId="77777777" w:rsidR="00C368DB" w:rsidRDefault="00C368D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9C2A" w14:textId="77777777" w:rsidR="007057C0" w:rsidRDefault="007057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011869">
      <w:fldChar w:fldCharType="begin"/>
    </w:r>
    <w:r w:rsidR="00011869">
      <w:instrText xml:space="preserve"> NUMPAGES   \* MERGEFORMAT </w:instrText>
    </w:r>
    <w:r w:rsidR="00011869">
      <w:fldChar w:fldCharType="separate"/>
    </w:r>
    <w:r>
      <w:t>3</w:t>
    </w:r>
    <w:r w:rsidR="0001186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50282" w14:textId="77777777" w:rsidR="007057C0" w:rsidRDefault="007057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1695A" w14:textId="77777777" w:rsidR="00C368DB" w:rsidRDefault="00C368DB">
      <w:pPr>
        <w:spacing w:before="0" w:after="0"/>
      </w:pPr>
      <w:r>
        <w:separator/>
      </w:r>
    </w:p>
  </w:footnote>
  <w:footnote w:type="continuationSeparator" w:id="0">
    <w:p w14:paraId="2CEDCB58" w14:textId="77777777" w:rsidR="00C368DB" w:rsidRDefault="00C368DB">
      <w:pPr>
        <w:spacing w:before="0" w:after="0"/>
      </w:pPr>
      <w:r>
        <w:continuationSeparator/>
      </w:r>
    </w:p>
  </w:footnote>
  <w:footnote w:type="continuationNotice" w:id="1">
    <w:p w14:paraId="1A7F2AE7" w14:textId="77777777" w:rsidR="00C368DB" w:rsidRDefault="00C368D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CC93F" w14:textId="77777777" w:rsidR="007057C0" w:rsidRDefault="007057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53DB3998"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B75AAA">
      <w:rPr>
        <w:b/>
        <w:bCs/>
        <w:sz w:val="28"/>
        <w:szCs w:val="28"/>
      </w:rPr>
      <w:t>Construction</w:t>
    </w:r>
    <w:r w:rsidR="00DC642B">
      <w:rPr>
        <w:b/>
        <w:bCs/>
        <w:sz w:val="28"/>
        <w:szCs w:val="28"/>
      </w:rPr>
      <w:t xml:space="preserve"> (Level </w:t>
    </w:r>
    <w:r w:rsidR="00B75AAA">
      <w:rPr>
        <w:b/>
        <w:bCs/>
        <w:sz w:val="28"/>
        <w:szCs w:val="28"/>
      </w:rPr>
      <w:t>3</w:t>
    </w:r>
    <w:r w:rsidR="00DC642B">
      <w:rPr>
        <w:b/>
        <w:bCs/>
        <w:sz w:val="28"/>
        <w:szCs w:val="28"/>
      </w:rPr>
      <w:t>)</w:t>
    </w:r>
  </w:p>
  <w:p w14:paraId="1A87A6D0" w14:textId="158F84DB"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0"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433641" id="Straight Connector 11"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B75AAA">
      <w:rPr>
        <w:color w:val="0077E3"/>
        <w:sz w:val="24"/>
        <w:szCs w:val="28"/>
      </w:rPr>
      <w:t>3</w:t>
    </w:r>
    <w:r w:rsidR="004357CB">
      <w:rPr>
        <w:color w:val="0077E3"/>
        <w:sz w:val="24"/>
        <w:szCs w:val="28"/>
      </w:rPr>
      <w:t>33</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5A22B8">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24B8" w14:textId="77777777" w:rsidR="007057C0" w:rsidRDefault="007057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308D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3251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6C079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7348F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3877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06EB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E8D13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6F413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1B4D6D"/>
    <w:multiLevelType w:val="multilevel"/>
    <w:tmpl w:val="342872A6"/>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2"/>
  </w:num>
  <w:num w:numId="3">
    <w:abstractNumId w:val="14"/>
  </w:num>
  <w:num w:numId="4">
    <w:abstractNumId w:val="8"/>
  </w:num>
  <w:num w:numId="5">
    <w:abstractNumId w:val="3"/>
  </w:num>
  <w:num w:numId="6">
    <w:abstractNumId w:val="15"/>
  </w:num>
  <w:num w:numId="7">
    <w:abstractNumId w:val="10"/>
  </w:num>
  <w:num w:numId="8">
    <w:abstractNumId w:val="13"/>
  </w:num>
  <w:num w:numId="9">
    <w:abstractNumId w:val="0"/>
  </w:num>
  <w:num w:numId="10">
    <w:abstractNumId w:val="1"/>
  </w:num>
  <w:num w:numId="11">
    <w:abstractNumId w:val="2"/>
  </w:num>
  <w:num w:numId="12">
    <w:abstractNumId w:val="4"/>
  </w:num>
  <w:num w:numId="13">
    <w:abstractNumId w:val="5"/>
  </w:num>
  <w:num w:numId="14">
    <w:abstractNumId w:val="6"/>
  </w:num>
  <w:num w:numId="15">
    <w:abstractNumId w:val="7"/>
  </w:num>
  <w:num w:numId="1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1869"/>
    <w:rsid w:val="00014527"/>
    <w:rsid w:val="000355F3"/>
    <w:rsid w:val="00041DCF"/>
    <w:rsid w:val="00044601"/>
    <w:rsid w:val="000462D0"/>
    <w:rsid w:val="00052D44"/>
    <w:rsid w:val="000625C1"/>
    <w:rsid w:val="00077B8F"/>
    <w:rsid w:val="0008737F"/>
    <w:rsid w:val="00093A46"/>
    <w:rsid w:val="000A0FF8"/>
    <w:rsid w:val="000A7B23"/>
    <w:rsid w:val="000B475D"/>
    <w:rsid w:val="000E3286"/>
    <w:rsid w:val="000E4B1A"/>
    <w:rsid w:val="000E7C90"/>
    <w:rsid w:val="000F1280"/>
    <w:rsid w:val="000F364F"/>
    <w:rsid w:val="00100DE4"/>
    <w:rsid w:val="00102645"/>
    <w:rsid w:val="00106031"/>
    <w:rsid w:val="00106685"/>
    <w:rsid w:val="00126511"/>
    <w:rsid w:val="001343C0"/>
    <w:rsid w:val="00134922"/>
    <w:rsid w:val="00143276"/>
    <w:rsid w:val="0014772E"/>
    <w:rsid w:val="00153EEC"/>
    <w:rsid w:val="0017259D"/>
    <w:rsid w:val="001759B2"/>
    <w:rsid w:val="00183375"/>
    <w:rsid w:val="00194C52"/>
    <w:rsid w:val="00195896"/>
    <w:rsid w:val="00197A45"/>
    <w:rsid w:val="001A7852"/>
    <w:rsid w:val="001A7C68"/>
    <w:rsid w:val="001B1FFF"/>
    <w:rsid w:val="001B4FD3"/>
    <w:rsid w:val="001C0CA5"/>
    <w:rsid w:val="001D2C30"/>
    <w:rsid w:val="001E1554"/>
    <w:rsid w:val="001E6D3F"/>
    <w:rsid w:val="001F60AD"/>
    <w:rsid w:val="00205182"/>
    <w:rsid w:val="00273525"/>
    <w:rsid w:val="0028647F"/>
    <w:rsid w:val="002A24D9"/>
    <w:rsid w:val="002A4DA0"/>
    <w:rsid w:val="002A4F81"/>
    <w:rsid w:val="002D2A39"/>
    <w:rsid w:val="002D44D0"/>
    <w:rsid w:val="002E4B7C"/>
    <w:rsid w:val="002F145D"/>
    <w:rsid w:val="002F2A70"/>
    <w:rsid w:val="00312073"/>
    <w:rsid w:val="00321A9E"/>
    <w:rsid w:val="00337DF5"/>
    <w:rsid w:val="00342F12"/>
    <w:rsid w:val="00353F1D"/>
    <w:rsid w:val="003553A4"/>
    <w:rsid w:val="003729D3"/>
    <w:rsid w:val="00372FB3"/>
    <w:rsid w:val="00376CB6"/>
    <w:rsid w:val="00396404"/>
    <w:rsid w:val="003C415E"/>
    <w:rsid w:val="003C65EF"/>
    <w:rsid w:val="003D0794"/>
    <w:rsid w:val="003F7FD4"/>
    <w:rsid w:val="004057E7"/>
    <w:rsid w:val="0041389A"/>
    <w:rsid w:val="00413BD1"/>
    <w:rsid w:val="004357CB"/>
    <w:rsid w:val="00437B7E"/>
    <w:rsid w:val="0045095C"/>
    <w:rsid w:val="004523E2"/>
    <w:rsid w:val="00457D67"/>
    <w:rsid w:val="0046039E"/>
    <w:rsid w:val="00464277"/>
    <w:rsid w:val="00466297"/>
    <w:rsid w:val="004A2268"/>
    <w:rsid w:val="004A6E5F"/>
    <w:rsid w:val="004B6E5D"/>
    <w:rsid w:val="004C705A"/>
    <w:rsid w:val="004D0BA5"/>
    <w:rsid w:val="004E191A"/>
    <w:rsid w:val="00516580"/>
    <w:rsid w:val="005329BB"/>
    <w:rsid w:val="00543AB0"/>
    <w:rsid w:val="00552896"/>
    <w:rsid w:val="00564AED"/>
    <w:rsid w:val="0056783E"/>
    <w:rsid w:val="00570E11"/>
    <w:rsid w:val="00577ED7"/>
    <w:rsid w:val="0058088A"/>
    <w:rsid w:val="00582A25"/>
    <w:rsid w:val="00582E73"/>
    <w:rsid w:val="005A22B8"/>
    <w:rsid w:val="005A503B"/>
    <w:rsid w:val="00603CA9"/>
    <w:rsid w:val="00613AB3"/>
    <w:rsid w:val="0061455B"/>
    <w:rsid w:val="00626FFC"/>
    <w:rsid w:val="006325CE"/>
    <w:rsid w:val="00635630"/>
    <w:rsid w:val="00641F5D"/>
    <w:rsid w:val="00657E0F"/>
    <w:rsid w:val="00672BED"/>
    <w:rsid w:val="006A59A9"/>
    <w:rsid w:val="006B23A9"/>
    <w:rsid w:val="006B5440"/>
    <w:rsid w:val="006C0843"/>
    <w:rsid w:val="006D4994"/>
    <w:rsid w:val="006E67F0"/>
    <w:rsid w:val="006E7C99"/>
    <w:rsid w:val="00704B0B"/>
    <w:rsid w:val="007057C0"/>
    <w:rsid w:val="0071471E"/>
    <w:rsid w:val="00715647"/>
    <w:rsid w:val="007317D2"/>
    <w:rsid w:val="00733A39"/>
    <w:rsid w:val="00755E46"/>
    <w:rsid w:val="00756D14"/>
    <w:rsid w:val="00772D58"/>
    <w:rsid w:val="00777D67"/>
    <w:rsid w:val="00786E7D"/>
    <w:rsid w:val="0079118A"/>
    <w:rsid w:val="007A5093"/>
    <w:rsid w:val="007A693A"/>
    <w:rsid w:val="007B50CD"/>
    <w:rsid w:val="007D0058"/>
    <w:rsid w:val="008005D4"/>
    <w:rsid w:val="00801706"/>
    <w:rsid w:val="00812680"/>
    <w:rsid w:val="00847CC6"/>
    <w:rsid w:val="00850408"/>
    <w:rsid w:val="00880EAA"/>
    <w:rsid w:val="00885ED3"/>
    <w:rsid w:val="00886270"/>
    <w:rsid w:val="008A4FC4"/>
    <w:rsid w:val="008B030B"/>
    <w:rsid w:val="008C49CA"/>
    <w:rsid w:val="008D37DF"/>
    <w:rsid w:val="008E5779"/>
    <w:rsid w:val="008F2236"/>
    <w:rsid w:val="008F3FA9"/>
    <w:rsid w:val="00905483"/>
    <w:rsid w:val="00905996"/>
    <w:rsid w:val="0094112A"/>
    <w:rsid w:val="00942ACF"/>
    <w:rsid w:val="00954ECD"/>
    <w:rsid w:val="00962BD3"/>
    <w:rsid w:val="009674DC"/>
    <w:rsid w:val="0098637D"/>
    <w:rsid w:val="0098732F"/>
    <w:rsid w:val="0099094F"/>
    <w:rsid w:val="009A272A"/>
    <w:rsid w:val="009A30A5"/>
    <w:rsid w:val="009B0EE5"/>
    <w:rsid w:val="009B5C5A"/>
    <w:rsid w:val="009B740D"/>
    <w:rsid w:val="009C0CB2"/>
    <w:rsid w:val="009D0107"/>
    <w:rsid w:val="009D56CC"/>
    <w:rsid w:val="009E0787"/>
    <w:rsid w:val="009F1EE2"/>
    <w:rsid w:val="00A1277C"/>
    <w:rsid w:val="00A16377"/>
    <w:rsid w:val="00A616D2"/>
    <w:rsid w:val="00A63F2B"/>
    <w:rsid w:val="00A70489"/>
    <w:rsid w:val="00A71800"/>
    <w:rsid w:val="00A80925"/>
    <w:rsid w:val="00AA08E6"/>
    <w:rsid w:val="00AA66B6"/>
    <w:rsid w:val="00AB366F"/>
    <w:rsid w:val="00AC3BFD"/>
    <w:rsid w:val="00AC59B7"/>
    <w:rsid w:val="00AE64CD"/>
    <w:rsid w:val="00AF03BF"/>
    <w:rsid w:val="00AF252C"/>
    <w:rsid w:val="00AF7A4F"/>
    <w:rsid w:val="00B016BE"/>
    <w:rsid w:val="00B0190D"/>
    <w:rsid w:val="00B13391"/>
    <w:rsid w:val="00B27B25"/>
    <w:rsid w:val="00B50E62"/>
    <w:rsid w:val="00B66ECB"/>
    <w:rsid w:val="00B74F03"/>
    <w:rsid w:val="00B752E1"/>
    <w:rsid w:val="00B75AAA"/>
    <w:rsid w:val="00B772B2"/>
    <w:rsid w:val="00B93185"/>
    <w:rsid w:val="00B966B9"/>
    <w:rsid w:val="00B9709E"/>
    <w:rsid w:val="00BC28B4"/>
    <w:rsid w:val="00BC7FCF"/>
    <w:rsid w:val="00BD12F2"/>
    <w:rsid w:val="00BD1647"/>
    <w:rsid w:val="00BD2993"/>
    <w:rsid w:val="00BD5BAD"/>
    <w:rsid w:val="00BD66E2"/>
    <w:rsid w:val="00BE0E94"/>
    <w:rsid w:val="00BF0FE3"/>
    <w:rsid w:val="00BF20EA"/>
    <w:rsid w:val="00BF3408"/>
    <w:rsid w:val="00BF74A8"/>
    <w:rsid w:val="00BF7512"/>
    <w:rsid w:val="00C269AC"/>
    <w:rsid w:val="00C315CA"/>
    <w:rsid w:val="00C344FE"/>
    <w:rsid w:val="00C368DB"/>
    <w:rsid w:val="00C573C2"/>
    <w:rsid w:val="00C629D1"/>
    <w:rsid w:val="00C6602A"/>
    <w:rsid w:val="00C7163E"/>
    <w:rsid w:val="00C76A92"/>
    <w:rsid w:val="00C85C02"/>
    <w:rsid w:val="00CA4288"/>
    <w:rsid w:val="00CA6EB5"/>
    <w:rsid w:val="00CB165E"/>
    <w:rsid w:val="00CC1C2A"/>
    <w:rsid w:val="00CD50CC"/>
    <w:rsid w:val="00CE4E14"/>
    <w:rsid w:val="00CE6DC5"/>
    <w:rsid w:val="00CF7F32"/>
    <w:rsid w:val="00D04BE6"/>
    <w:rsid w:val="00D129BC"/>
    <w:rsid w:val="00D14B60"/>
    <w:rsid w:val="00D245EE"/>
    <w:rsid w:val="00D33FC2"/>
    <w:rsid w:val="00D44A96"/>
    <w:rsid w:val="00D45288"/>
    <w:rsid w:val="00D7542B"/>
    <w:rsid w:val="00D76422"/>
    <w:rsid w:val="00D77C4B"/>
    <w:rsid w:val="00D8348D"/>
    <w:rsid w:val="00D92020"/>
    <w:rsid w:val="00D93C78"/>
    <w:rsid w:val="00D979B1"/>
    <w:rsid w:val="00DB3BF5"/>
    <w:rsid w:val="00DC642B"/>
    <w:rsid w:val="00DE572B"/>
    <w:rsid w:val="00DE647C"/>
    <w:rsid w:val="00DE7859"/>
    <w:rsid w:val="00DF0116"/>
    <w:rsid w:val="00DF022A"/>
    <w:rsid w:val="00DF4F8B"/>
    <w:rsid w:val="00DF5AEE"/>
    <w:rsid w:val="00E031BB"/>
    <w:rsid w:val="00E2563B"/>
    <w:rsid w:val="00E26CCE"/>
    <w:rsid w:val="00E3041B"/>
    <w:rsid w:val="00E4608D"/>
    <w:rsid w:val="00E56577"/>
    <w:rsid w:val="00E6073F"/>
    <w:rsid w:val="00E766BE"/>
    <w:rsid w:val="00E77982"/>
    <w:rsid w:val="00E92EFF"/>
    <w:rsid w:val="00E95CA3"/>
    <w:rsid w:val="00EC6E91"/>
    <w:rsid w:val="00EF33B4"/>
    <w:rsid w:val="00EF6580"/>
    <w:rsid w:val="00F03C3F"/>
    <w:rsid w:val="00F15235"/>
    <w:rsid w:val="00F160AE"/>
    <w:rsid w:val="00F23F4A"/>
    <w:rsid w:val="00F30345"/>
    <w:rsid w:val="00F418EF"/>
    <w:rsid w:val="00F42FC2"/>
    <w:rsid w:val="00F52A5C"/>
    <w:rsid w:val="00F7291D"/>
    <w:rsid w:val="00F93080"/>
    <w:rsid w:val="00FA1C3D"/>
    <w:rsid w:val="00FA2636"/>
    <w:rsid w:val="00FB52AB"/>
    <w:rsid w:val="00FD198C"/>
    <w:rsid w:val="00FE1E19"/>
    <w:rsid w:val="00FE7DB5"/>
    <w:rsid w:val="00FF0827"/>
    <w:rsid w:val="00FF7D8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Indent">
    <w:name w:val="Normal Indent"/>
    <w:basedOn w:val="Normal"/>
    <w:unhideWhenUsed/>
    <w:rsid w:val="008E5779"/>
    <w:pPr>
      <w:ind w:left="720"/>
    </w:pPr>
  </w:style>
  <w:style w:type="character" w:styleId="UnresolvedMention">
    <w:name w:val="Unresolved Mention"/>
    <w:basedOn w:val="DefaultParagraphFont"/>
    <w:uiPriority w:val="99"/>
    <w:semiHidden/>
    <w:unhideWhenUsed/>
    <w:rsid w:val="00EC6E91"/>
    <w:rPr>
      <w:color w:val="605E5C"/>
      <w:shd w:val="clear" w:color="auto" w:fill="E1DFDD"/>
    </w:rPr>
  </w:style>
  <w:style w:type="paragraph" w:customStyle="1" w:styleId="Standard">
    <w:name w:val="Standard"/>
    <w:rsid w:val="00BC7FCF"/>
    <w:pPr>
      <w:suppressAutoHyphens/>
      <w:autoSpaceDN w:val="0"/>
      <w:spacing w:before="80" w:after="80" w:line="260" w:lineRule="exact"/>
      <w:textAlignment w:val="baseline"/>
    </w:pPr>
    <w:rPr>
      <w:rFonts w:ascii="Arial" w:hAnsi="Arial"/>
      <w:kern w:val="3"/>
      <w:sz w:val="22"/>
      <w:szCs w:val="24"/>
      <w:lang w:eastAsia="en-US"/>
    </w:rPr>
  </w:style>
  <w:style w:type="paragraph" w:styleId="Caption">
    <w:name w:val="caption"/>
    <w:basedOn w:val="Standard"/>
    <w:rsid w:val="00BC7FCF"/>
    <w:pPr>
      <w:suppressLineNumbers/>
      <w:spacing w:before="120" w:after="120"/>
    </w:pPr>
    <w:rPr>
      <w:rFonts w:cs="Lucida Sans"/>
      <w:i/>
      <w:iCs/>
      <w:sz w:val="24"/>
    </w:rPr>
  </w:style>
  <w:style w:type="numbering" w:customStyle="1" w:styleId="WWNum1">
    <w:name w:val="WWNum1"/>
    <w:basedOn w:val="NoList"/>
    <w:rsid w:val="00BC7FCF"/>
    <w:pPr>
      <w:numPr>
        <w:numId w:val="8"/>
      </w:numPr>
    </w:pPr>
  </w:style>
  <w:style w:type="paragraph" w:customStyle="1" w:styleId="Default">
    <w:name w:val="Default"/>
    <w:rsid w:val="00353F1D"/>
    <w:pPr>
      <w:autoSpaceDE w:val="0"/>
      <w:autoSpaceDN w:val="0"/>
      <w:adjustRightInd w:val="0"/>
    </w:pPr>
    <w:rPr>
      <w:rFonts w:ascii="Arial" w:hAnsi="Arial" w:cs="Arial"/>
      <w:color w:val="000000"/>
      <w:sz w:val="24"/>
      <w:szCs w:val="24"/>
    </w:rPr>
  </w:style>
  <w:style w:type="paragraph" w:styleId="Revision">
    <w:name w:val="Revision"/>
    <w:hidden/>
    <w:semiHidden/>
    <w:rsid w:val="003F7FD4"/>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ral-farben.de/en/" TargetMode="External"/><Relationship Id="rId3" Type="http://schemas.openxmlformats.org/officeDocument/2006/relationships/customXml" Target="../customXml/item3.xml"/><Relationship Id="rId21" Type="http://schemas.openxmlformats.org/officeDocument/2006/relationships/hyperlink" Target="https://www.dulux.co.uk/en"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ncscolou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rownpaints.co.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akzonobel.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johnstonespaint.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9F08B-5C34-43C2-A956-23DD2F304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471B8D-F41D-444C-A1BB-DC949C4D91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43AF9A-700F-4D70-9A42-E23E6C42C761}">
  <ds:schemaRefs>
    <ds:schemaRef ds:uri="http://schemas.microsoft.com/sharepoint/v3/contenttype/forms"/>
  </ds:schemaRefs>
</ds:datastoreItem>
</file>

<file path=customXml/itemProps4.xml><?xml version="1.0" encoding="utf-8"?>
<ds:datastoreItem xmlns:ds="http://schemas.openxmlformats.org/officeDocument/2006/customXml" ds:itemID="{F57DC435-DB83-4AC0-9E64-E257E7636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1632</Words>
  <Characters>9307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2022-01-10T13:48:00Z</dcterms:created>
  <dcterms:modified xsi:type="dcterms:W3CDTF">2022-01-10T16:41:00Z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