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76C8FFA" w:rsidR="00474F67" w:rsidRPr="007F05E6" w:rsidRDefault="00474F67" w:rsidP="00474F67">
      <w:pPr>
        <w:pStyle w:val="Unittitle"/>
      </w:pPr>
      <w:r>
        <w:t xml:space="preserve">Uned 202:</w:t>
      </w:r>
      <w:r>
        <w:t xml:space="preserve"> </w:t>
      </w:r>
      <w:r>
        <w:t xml:space="preserve">Arferion yn newid dros amser</w:t>
      </w:r>
    </w:p>
    <w:p w14:paraId="0E639D49" w14:textId="46438893" w:rsidR="00E868F3" w:rsidRDefault="7E4E8F96" w:rsidP="3DD4AE1D">
      <w:pPr>
        <w:pStyle w:val="Heading1"/>
      </w:pPr>
      <w:r>
        <w:t xml:space="preserve">Strategaethau gwrthbwyso carbon ar gyfer adeiladau’r 21ain ganrif</w:t>
      </w:r>
    </w:p>
    <w:p w14:paraId="7A532444" w14:textId="377B1928" w:rsidR="3DD4AE1D" w:rsidRDefault="7E4E8F96" w:rsidP="007F26E9">
      <w:pPr>
        <w:spacing w:before="0" w:after="0" w:line="276" w:lineRule="auto"/>
        <w:jc w:val="both"/>
        <w:rPr>
          <w:color w:val="374151"/>
          <w:sz w:val="24"/>
          <w:rFonts w:eastAsia="Arial" w:cs="Arial"/>
        </w:rPr>
      </w:pPr>
      <w:r>
        <w:rPr>
          <w:sz w:val="24"/>
          <w:color w:val="252525"/>
        </w:rPr>
        <w:t xml:space="preserve">Gwrthbwyso carbon yw’r arfer o gymryd camau i wneud iawn am yr allyriadau nwyon tŷ gwydr sy’n cael eu cynhyrchu gan weithgareddau dynol.</w:t>
      </w:r>
      <w:r>
        <w:rPr>
          <w:sz w:val="24"/>
          <w:color w:val="252525"/>
        </w:rPr>
        <w:t xml:space="preserve"> </w:t>
      </w:r>
      <w:r>
        <w:rPr>
          <w:sz w:val="24"/>
          <w:color w:val="252525"/>
        </w:rPr>
        <w:t xml:space="preserve">Yng nghyd-destun adeiladau, mae’n golygu rhoi mesurau ar waith i leihau ôl troed carbon y gwaith adeiladu a gweithredu, ac yna gwrthbwyso unrhyw allyriadau sy’n weddill drwy wahanol ddulliau.</w:t>
      </w:r>
      <w:r>
        <w:rPr>
          <w:sz w:val="24"/>
          <w:color w:val="374151"/>
        </w:rPr>
        <w:t xml:space="preserve"> </w:t>
      </w:r>
      <w:r>
        <w:rPr>
          <w:sz w:val="24"/>
          <w:color w:val="374151"/>
        </w:rPr>
        <w:t xml:space="preserve">Bydd y strategaethau penodol sy’n cael eu dewis yn dibynnu ar y math o adeilad, y lleoliad, y gyllideb a ffactorau eraill.</w:t>
      </w:r>
      <w:r>
        <w:rPr>
          <w:sz w:val="24"/>
          <w:color w:val="374151"/>
        </w:rPr>
        <w:t xml:space="preserve"> </w:t>
      </w:r>
    </w:p>
    <w:p w14:paraId="6CAF3F7B" w14:textId="77777777" w:rsidR="007F26E9" w:rsidRPr="007F26E9" w:rsidRDefault="007F26E9" w:rsidP="007F26E9">
      <w:pPr>
        <w:spacing w:before="0" w:after="0" w:line="276" w:lineRule="auto"/>
        <w:jc w:val="both"/>
        <w:rPr>
          <w:color w:val="374151"/>
          <w:szCs w:val="22"/>
        </w:rPr>
      </w:pPr>
    </w:p>
    <w:p w14:paraId="061BECC6" w14:textId="37DAB034" w:rsidR="7E4E8F96" w:rsidRDefault="7E4E8F96" w:rsidP="007F26E9">
      <w:pPr>
        <w:spacing w:before="0" w:after="0" w:line="276" w:lineRule="auto"/>
        <w:jc w:val="both"/>
        <w:rPr>
          <w:color w:val="374151"/>
          <w:sz w:val="24"/>
          <w:rFonts w:eastAsia="Arial" w:cs="Arial"/>
        </w:rPr>
      </w:pPr>
      <w:r>
        <w:rPr>
          <w:color w:val="374151"/>
          <w:sz w:val="24"/>
          <w:b/>
        </w:rPr>
        <w:t xml:space="preserve">Gwelliannau o ran effeithlonrwydd ynni:</w:t>
      </w:r>
      <w:r>
        <w:rPr>
          <w:color w:val="374151"/>
          <w:sz w:val="24"/>
          <w:b/>
        </w:rPr>
        <w:t xml:space="preserve"> </w:t>
      </w:r>
      <w:r>
        <w:rPr>
          <w:color w:val="374151"/>
          <w:sz w:val="24"/>
        </w:rPr>
        <w:t xml:space="preserve">Un o’r ffyrdd mwyaf effeithiol o leihau allyriadau carbon mewn adeiladau yw rhoi mesurau effeithlonrwydd ynni ar waith.</w:t>
      </w:r>
      <w:r>
        <w:rPr>
          <w:color w:val="374151"/>
          <w:sz w:val="24"/>
        </w:rPr>
        <w:t xml:space="preserve"> </w:t>
      </w:r>
      <w:r>
        <w:rPr>
          <w:color w:val="374151"/>
          <w:sz w:val="24"/>
        </w:rPr>
        <w:t xml:space="preserve">Mae hyn yn cynnwys ymgorffori dyfeisiau, systemau goleuo a systemau HVAC (gwresogi, awyru ac aerdymheru) ynni-effeithlon.</w:t>
      </w:r>
      <w:r>
        <w:rPr>
          <w:color w:val="374151"/>
          <w:sz w:val="24"/>
        </w:rPr>
        <w:t xml:space="preserve"> </w:t>
      </w:r>
      <w:r>
        <w:rPr>
          <w:color w:val="374151"/>
          <w:sz w:val="24"/>
        </w:rPr>
        <w:t xml:space="preserve">Gall inswleiddio, ffenestri perfformiad uchel a dylunio amlen adeiladau’n effeithlon hefyd leihau’r defnydd o ynni ac allyriadau yn sylweddol.</w:t>
      </w:r>
    </w:p>
    <w:p w14:paraId="66AEF65C" w14:textId="77777777" w:rsidR="007F26E9" w:rsidRDefault="007F26E9" w:rsidP="007F26E9">
      <w:pPr>
        <w:spacing w:before="0" w:after="0" w:line="276" w:lineRule="auto"/>
        <w:jc w:val="both"/>
        <w:rPr>
          <w:color w:val="374151"/>
          <w:szCs w:val="22"/>
        </w:rPr>
      </w:pPr>
    </w:p>
    <w:p w14:paraId="48504C5B" w14:textId="05D60102" w:rsidR="7E4E8F96" w:rsidRDefault="7E4E8F96" w:rsidP="007F26E9">
      <w:pPr>
        <w:spacing w:before="0" w:after="0" w:line="276" w:lineRule="auto"/>
        <w:jc w:val="both"/>
        <w:rPr>
          <w:color w:val="374151"/>
          <w:sz w:val="24"/>
          <w:rFonts w:eastAsia="Arial" w:cs="Arial"/>
        </w:rPr>
      </w:pPr>
      <w:r>
        <w:rPr>
          <w:color w:val="374151"/>
          <w:sz w:val="24"/>
          <w:b/>
          <w:b/>
          <w:bCs/>
        </w:rPr>
        <w:t xml:space="preserve">Integreiddio ynni adnewyddadwy:</w:t>
      </w:r>
      <w:r>
        <w:rPr>
          <w:color w:val="374151"/>
          <w:sz w:val="24"/>
          <w:b/>
        </w:rPr>
        <w:t xml:space="preserve"> </w:t>
      </w:r>
      <w:r>
        <w:rPr>
          <w:color w:val="374151"/>
          <w:sz w:val="24"/>
        </w:rPr>
        <w:t xml:space="preserve">Mae integreiddio ffynonellau ynni adnewyddadwy yn hanfodol mewn strategaethau gwrthbwyso carbon.</w:t>
      </w:r>
      <w:r>
        <w:rPr>
          <w:color w:val="374151"/>
          <w:sz w:val="24"/>
        </w:rPr>
        <w:t xml:space="preserve"> </w:t>
      </w:r>
      <w:r>
        <w:rPr>
          <w:color w:val="374151"/>
          <w:sz w:val="24"/>
        </w:rPr>
        <w:t xml:space="preserve">Gall adeiladau gynnwys paneli solar, tyrbinau gwynt neu bympiau gwres i gynhyrchu ynni adnewyddadwy ar y safle.</w:t>
      </w:r>
      <w:r>
        <w:rPr>
          <w:color w:val="374151"/>
          <w:sz w:val="24"/>
        </w:rPr>
        <w:t xml:space="preserve"> </w:t>
      </w:r>
      <w:r>
        <w:rPr>
          <w:color w:val="374151"/>
          <w:sz w:val="24"/>
        </w:rPr>
        <w:t xml:space="preserve">Ar ben hynny, gallant fanteisio ar ffynonellau ynni adnewyddadwy oddi ar y safle drwy gytundebau prynu pŵer neu drwy gaffael trydan gan gyflenwyr ynni gwyrdd.</w:t>
      </w:r>
    </w:p>
    <w:p w14:paraId="164FCC3C" w14:textId="77777777" w:rsidR="007F26E9" w:rsidRDefault="007F26E9" w:rsidP="007F26E9">
      <w:pPr>
        <w:spacing w:before="0" w:after="0" w:line="276" w:lineRule="auto"/>
        <w:jc w:val="both"/>
        <w:rPr>
          <w:color w:val="374151"/>
          <w:szCs w:val="22"/>
        </w:rPr>
      </w:pPr>
    </w:p>
    <w:p w14:paraId="38911450" w14:textId="6C69A949" w:rsidR="7E4E8F96" w:rsidRDefault="7E4E8F96" w:rsidP="007F26E9">
      <w:pPr>
        <w:spacing w:before="0" w:after="0" w:line="276" w:lineRule="auto"/>
        <w:jc w:val="both"/>
        <w:rPr>
          <w:color w:val="374151"/>
          <w:sz w:val="24"/>
          <w:rFonts w:eastAsia="Arial" w:cs="Arial"/>
        </w:rPr>
      </w:pPr>
      <w:r>
        <w:rPr>
          <w:color w:val="374151"/>
          <w:sz w:val="24"/>
          <w:b/>
        </w:rPr>
        <w:t xml:space="preserve">Dewis deunyddiau cynaliadwy:</w:t>
      </w:r>
      <w:r>
        <w:rPr>
          <w:color w:val="374151"/>
          <w:sz w:val="24"/>
          <w:b/>
        </w:rPr>
        <w:t xml:space="preserve"> </w:t>
      </w:r>
      <w:r>
        <w:rPr>
          <w:color w:val="374151"/>
          <w:sz w:val="24"/>
        </w:rPr>
        <w:t xml:space="preserve">Mae deunyddiau adeiladu yn cael effaith sylweddol ar allyriadau carbon.</w:t>
      </w:r>
      <w:r>
        <w:rPr>
          <w:color w:val="374151"/>
          <w:sz w:val="24"/>
        </w:rPr>
        <w:t xml:space="preserve"> </w:t>
      </w:r>
      <w:r>
        <w:rPr>
          <w:color w:val="374151"/>
          <w:sz w:val="24"/>
        </w:rPr>
        <w:t xml:space="preserve">Gall dewis deunyddiau cynaliadwy a charbon isel helpu i leihau’r ôl troed carbon cyffredinol.</w:t>
      </w:r>
      <w:r>
        <w:rPr>
          <w:color w:val="374151"/>
          <w:sz w:val="24"/>
        </w:rPr>
        <w:t xml:space="preserve"> </w:t>
      </w:r>
      <w:r>
        <w:rPr>
          <w:color w:val="374151"/>
          <w:sz w:val="24"/>
        </w:rPr>
        <w:t xml:space="preserve">Er enghraifft, gall defnyddio deunyddiau wedi’u hailgylchu, pren o ffynonellau cyfrifol neu ddewisiadau concrid carbon isel gyfrannu’n sylweddol at ymdrechion gwrthbwyso carbon.</w:t>
      </w:r>
    </w:p>
    <w:p w14:paraId="4E98700C" w14:textId="77777777" w:rsidR="007F26E9" w:rsidRDefault="007F26E9" w:rsidP="007F26E9">
      <w:pPr>
        <w:spacing w:before="0" w:after="0" w:line="276" w:lineRule="auto"/>
        <w:jc w:val="both"/>
        <w:rPr>
          <w:color w:val="374151"/>
          <w:szCs w:val="22"/>
        </w:rPr>
      </w:pPr>
    </w:p>
    <w:p w14:paraId="730C5657" w14:textId="129A0738" w:rsidR="7E4E8F96" w:rsidRDefault="7E4E8F96" w:rsidP="007F26E9">
      <w:pPr>
        <w:spacing w:before="0" w:after="0" w:line="276" w:lineRule="auto"/>
        <w:jc w:val="both"/>
        <w:rPr>
          <w:color w:val="374151"/>
          <w:sz w:val="24"/>
          <w:rFonts w:eastAsia="Arial" w:cs="Arial"/>
        </w:rPr>
      </w:pPr>
      <w:r>
        <w:rPr>
          <w:color w:val="374151"/>
          <w:sz w:val="24"/>
          <w:b/>
        </w:rPr>
        <w:t xml:space="preserve">Rheoli ac ailgylchu gwastraff:</w:t>
      </w:r>
      <w:r>
        <w:rPr>
          <w:color w:val="374151"/>
          <w:sz w:val="24"/>
          <w:b/>
        </w:rPr>
        <w:t xml:space="preserve"> </w:t>
      </w:r>
      <w:r>
        <w:rPr>
          <w:color w:val="374151"/>
          <w:sz w:val="24"/>
        </w:rPr>
        <w:t xml:space="preserve">Gall arferion rheoli ac ailgylchu gwastraff effeithiol helpu i leihau ôl troed carbon prosiectau adeiladu.</w:t>
      </w:r>
      <w:r>
        <w:rPr>
          <w:color w:val="374151"/>
          <w:sz w:val="24"/>
        </w:rPr>
        <w:t xml:space="preserve"> </w:t>
      </w:r>
      <w:r>
        <w:rPr>
          <w:color w:val="374151"/>
          <w:sz w:val="24"/>
        </w:rPr>
        <w:t xml:space="preserve">Drwy wahanu gwastraff, deunyddiau ailgylchu a hybu egwyddorion economi gylchol, mae maint y gwastraff sy’n cael ei anfon i safleoedd tirlenwi yn cael ei leihau, gan leihau allyriadau nwyon tŷ gwydr cysylltiedig.</w:t>
      </w:r>
    </w:p>
    <w:p w14:paraId="2AA04EB2" w14:textId="77777777" w:rsidR="007F26E9" w:rsidRDefault="007F26E9" w:rsidP="007F26E9">
      <w:pPr>
        <w:spacing w:before="0" w:after="0" w:line="276" w:lineRule="auto"/>
        <w:jc w:val="both"/>
        <w:rPr>
          <w:color w:val="374151"/>
          <w:szCs w:val="22"/>
        </w:rPr>
      </w:pPr>
    </w:p>
    <w:p w14:paraId="48E53B7F" w14:textId="1237C759" w:rsidR="7E4E8F96" w:rsidRDefault="7E4E8F96" w:rsidP="007F26E9">
      <w:pPr>
        <w:spacing w:before="0" w:after="0" w:line="276" w:lineRule="auto"/>
        <w:jc w:val="both"/>
        <w:rPr>
          <w:color w:val="374151"/>
          <w:sz w:val="24"/>
          <w:rFonts w:eastAsia="Arial" w:cs="Arial"/>
        </w:rPr>
      </w:pPr>
      <w:r>
        <w:rPr>
          <w:color w:val="374151"/>
          <w:sz w:val="24"/>
          <w:b/>
        </w:rPr>
        <w:t xml:space="preserve">Integreiddio toeau gwyrdd a mannau gwyrdd:</w:t>
      </w:r>
      <w:r>
        <w:rPr>
          <w:color w:val="374151"/>
          <w:sz w:val="24"/>
        </w:rPr>
        <w:t xml:space="preserve"> </w:t>
      </w:r>
      <w:r>
        <w:rPr>
          <w:color w:val="374151"/>
          <w:sz w:val="24"/>
        </w:rPr>
        <w:t xml:space="preserve">Gall toeau gwyrdd a mannau gwyrdd gyfrannu at wrthbwyso carbon drwy wella bioamrywiaeth, darparu inswleiddiad a lleihau effaith ynysoedd gwres trefol.</w:t>
      </w:r>
      <w:r>
        <w:rPr>
          <w:color w:val="374151"/>
          <w:sz w:val="24"/>
        </w:rPr>
        <w:t xml:space="preserve"> </w:t>
      </w:r>
      <w:r>
        <w:rPr>
          <w:color w:val="374151"/>
          <w:sz w:val="24"/>
        </w:rPr>
        <w:t xml:space="preserve">Mae toeau llystyfiannol yn amsugno carbon deuocsid ac yn rhyddhau ocsigen, gan weithredu fel dalfeydd carbon naturiol.</w:t>
      </w:r>
      <w:r>
        <w:rPr>
          <w:color w:val="374151"/>
          <w:sz w:val="24"/>
        </w:rPr>
        <w:t xml:space="preserve"> </w:t>
      </w:r>
      <w:r>
        <w:rPr>
          <w:color w:val="374151"/>
          <w:sz w:val="24"/>
        </w:rPr>
        <w:t xml:space="preserve">Mae integreiddio mannau gwyrdd mewn adeiladau neu gerllaw hefyd yn gwella ansawdd aer ac yn hybu amgylchedd trefol cynaliadwy.</w:t>
      </w:r>
    </w:p>
    <w:p w14:paraId="572CB10E" w14:textId="77777777" w:rsidR="007F26E9" w:rsidRDefault="007F26E9" w:rsidP="007F26E9">
      <w:pPr>
        <w:spacing w:before="0" w:after="0" w:line="276" w:lineRule="auto"/>
        <w:jc w:val="both"/>
        <w:rPr>
          <w:color w:val="374151"/>
          <w:szCs w:val="22"/>
        </w:rPr>
      </w:pPr>
    </w:p>
    <w:p w14:paraId="02851990" w14:textId="5D979CCB" w:rsidR="7E4E8F96" w:rsidRDefault="7E4E8F96" w:rsidP="007F26E9">
      <w:pPr>
        <w:spacing w:before="0" w:after="0" w:line="276" w:lineRule="auto"/>
        <w:jc w:val="both"/>
        <w:rPr>
          <w:color w:val="374151"/>
          <w:sz w:val="24"/>
          <w:rFonts w:eastAsia="Arial" w:cs="Arial"/>
        </w:rPr>
      </w:pPr>
      <w:r>
        <w:rPr>
          <w:color w:val="374151"/>
          <w:sz w:val="24"/>
          <w:b/>
          <w:b/>
          <w:bCs/>
        </w:rPr>
        <w:t xml:space="preserve">Mesurau effeithlonrwydd dŵr:</w:t>
      </w:r>
      <w:r>
        <w:rPr>
          <w:color w:val="374151"/>
          <w:sz w:val="24"/>
        </w:rPr>
        <w:t xml:space="preserve"> </w:t>
      </w:r>
      <w:r>
        <w:rPr>
          <w:color w:val="374151"/>
          <w:sz w:val="24"/>
        </w:rPr>
        <w:t xml:space="preserve">Gall gweithredu gosodiadau dŵr-effeithlon, systemau casglu dŵr glaw a thechnegau ailgylchu dŵr leihau’r defnydd o ddŵr a’r defnydd cysylltiedig o ynni.</w:t>
      </w:r>
      <w:r>
        <w:rPr>
          <w:color w:val="374151"/>
          <w:sz w:val="24"/>
        </w:rPr>
        <w:t xml:space="preserve"> </w:t>
      </w:r>
      <w:r>
        <w:rPr>
          <w:color w:val="374151"/>
          <w:sz w:val="24"/>
        </w:rPr>
        <w:t xml:space="preserve">Mae hyn yn cyfrannu’n anuniongyrchol at ymdrechion gwrthbwyso carbon drwy leihau’r ynni sydd ei angen ar gyfer trin a dosbarthu dŵr.</w:t>
      </w:r>
    </w:p>
    <w:p w14:paraId="455A144E" w14:textId="77777777" w:rsidR="007F26E9" w:rsidRDefault="007F26E9" w:rsidP="007F26E9">
      <w:pPr>
        <w:spacing w:before="0" w:after="0" w:line="276" w:lineRule="auto"/>
        <w:jc w:val="both"/>
        <w:rPr>
          <w:color w:val="374151"/>
          <w:szCs w:val="22"/>
        </w:rPr>
      </w:pPr>
    </w:p>
    <w:p w14:paraId="467302EE" w14:textId="06C365D4" w:rsidR="7E4E8F96" w:rsidRDefault="7E4E8F96" w:rsidP="007F26E9">
      <w:pPr>
        <w:spacing w:before="0" w:after="0" w:line="276" w:lineRule="auto"/>
        <w:jc w:val="both"/>
        <w:rPr>
          <w:color w:val="374151"/>
          <w:sz w:val="24"/>
          <w:rFonts w:eastAsia="Arial" w:cs="Arial"/>
        </w:rPr>
      </w:pPr>
      <w:r>
        <w:rPr>
          <w:color w:val="374151"/>
          <w:sz w:val="24"/>
          <w:b/>
        </w:rPr>
        <w:t xml:space="preserve">Prosiectau gwrthbwyso carbon:</w:t>
      </w:r>
      <w:r>
        <w:rPr>
          <w:color w:val="374151"/>
          <w:sz w:val="24"/>
          <w:b/>
        </w:rPr>
        <w:t xml:space="preserve"> </w:t>
      </w:r>
      <w:r>
        <w:rPr>
          <w:color w:val="374151"/>
          <w:sz w:val="24"/>
        </w:rPr>
        <w:t xml:space="preserve">Gall adeiladau gymryd rhan weithredol mewn prosiectau gwrthbwyso carbon drwy fuddsoddi mewn mentrau sy’n lleihau allyriadau mewn mannau eraill.</w:t>
      </w:r>
      <w:r>
        <w:rPr>
          <w:color w:val="374151"/>
          <w:sz w:val="24"/>
        </w:rPr>
        <w:t xml:space="preserve"> </w:t>
      </w:r>
      <w:r>
        <w:rPr>
          <w:color w:val="374151"/>
          <w:sz w:val="24"/>
        </w:rPr>
        <w:t xml:space="preserve">Mae hyn yn cynnwys ariannu prosiectau sy’n ymwneud ag ailgoedwigo, coedwigo, cynhyrchu ynni adnewyddadwy neu ddatblygu technoleg lân.</w:t>
      </w:r>
      <w:r>
        <w:rPr>
          <w:color w:val="374151"/>
          <w:sz w:val="24"/>
        </w:rPr>
        <w:t xml:space="preserve"> </w:t>
      </w:r>
      <w:r>
        <w:rPr>
          <w:color w:val="374151"/>
          <w:sz w:val="24"/>
        </w:rPr>
        <w:t xml:space="preserve">Mae’r prosiectau hyn yn cynhyrchu credydau carbon sy’n gallu gwrthbwyso’r allyriadau a gynhyrchir gan adeiladau.</w:t>
      </w:r>
    </w:p>
    <w:p w14:paraId="207A340D" w14:textId="77777777" w:rsidR="007F26E9" w:rsidRPr="007F26E9" w:rsidRDefault="007F26E9" w:rsidP="007F26E9">
      <w:pPr>
        <w:spacing w:before="0" w:after="0" w:line="276" w:lineRule="auto"/>
        <w:jc w:val="both"/>
        <w:rPr>
          <w:b/>
          <w:color w:val="374151"/>
          <w:szCs w:val="22"/>
        </w:rPr>
      </w:pPr>
    </w:p>
    <w:p w14:paraId="02ED83AE" w14:textId="01BC054F" w:rsidR="7E4E8F96" w:rsidRPr="007F26E9" w:rsidRDefault="7E4E8F96" w:rsidP="007F26E9">
      <w:pPr>
        <w:spacing w:before="0" w:after="0" w:line="276" w:lineRule="auto"/>
        <w:jc w:val="both"/>
        <w:rPr>
          <w:b/>
          <w:color w:val="374151"/>
          <w:szCs w:val="22"/>
        </w:rPr>
      </w:pPr>
      <w:r>
        <w:rPr>
          <w:color w:val="374151"/>
          <w:sz w:val="24"/>
          <w:b/>
        </w:rPr>
        <w:t xml:space="preserve">Monitro ac adrodd:</w:t>
      </w:r>
      <w:r>
        <w:rPr>
          <w:color w:val="374151"/>
          <w:sz w:val="24"/>
          <w:b/>
        </w:rPr>
        <w:t xml:space="preserve"> </w:t>
      </w:r>
      <w:r>
        <w:rPr>
          <w:color w:val="374151"/>
          <w:sz w:val="24"/>
        </w:rPr>
        <w:t xml:space="preserve">Mae monitro ac adrodd yn rheolaidd ar y defnydd o ynni ac allyriadau carbon yn hanfodol ar gyfer nodi meysydd i’w gwella, a sicrhau bod strategaethau gwrthbwyso carbon yn effeithiol.</w:t>
      </w:r>
      <w:r>
        <w:rPr>
          <w:color w:val="374151"/>
          <w:sz w:val="24"/>
        </w:rPr>
        <w:t xml:space="preserve"> </w:t>
      </w:r>
      <w:r>
        <w:rPr>
          <w:color w:val="374151"/>
          <w:sz w:val="24"/>
        </w:rPr>
        <w:t xml:space="preserve">Mae hyn yn helpu i gadw golwg ar gynnydd, optimeiddio perfformiad adeiladau a rhoi addasiadau angenrheidiol ar waith i gyflawni nodau carbon sero net neu niwtraliaeth carbon.</w:t>
      </w:r>
    </w:p>
    <w:p w14:paraId="2A6F439F" w14:textId="0B7F38B2" w:rsidR="3DD4AE1D" w:rsidRDefault="3DD4AE1D" w:rsidP="007F26E9">
      <w:pPr>
        <w:spacing w:before="0" w:after="0" w:line="276" w:lineRule="auto"/>
        <w:jc w:val="both"/>
        <w:rPr>
          <w:rFonts w:eastAsia="Arial" w:cs="Arial"/>
          <w:color w:val="374151"/>
          <w:sz w:val="24"/>
        </w:rPr>
      </w:pPr>
    </w:p>
    <w:sectPr w:rsidR="3DD4AE1D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659DB" w14:textId="77777777" w:rsidR="00327E5E" w:rsidRDefault="00327E5E">
      <w:pPr>
        <w:spacing w:before="0" w:after="0"/>
      </w:pPr>
      <w:r>
        <w:separator/>
      </w:r>
    </w:p>
  </w:endnote>
  <w:endnote w:type="continuationSeparator" w:id="0">
    <w:p w14:paraId="749D0923" w14:textId="77777777" w:rsidR="00327E5E" w:rsidRDefault="00327E5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80AED6F" w:rsidR="00110217" w:rsidRPr="00F03E33" w:rsidRDefault="001C79D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140676329"/>
    <w:r>
      <w:t xml:space="preserve">© 2023 Sefydliad City and Guilds Llundain.</w:t>
    </w:r>
    <w:r>
      <w:t xml:space="preserve"> </w:t>
    </w:r>
    <w:r>
      <w:t xml:space="preserve">Cedwir pob hawl.</w:t>
    </w:r>
    <w:bookmarkEnd w:id="0"/>
    <w:r>
      <w:tab/>
    </w:r>
    <w:r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 w:dirty="true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65F0F" w14:textId="77777777" w:rsidR="00327E5E" w:rsidRDefault="00327E5E">
      <w:pPr>
        <w:spacing w:before="0" w:after="0"/>
      </w:pPr>
      <w:r>
        <w:separator/>
      </w:r>
    </w:p>
  </w:footnote>
  <w:footnote w:type="continuationSeparator" w:id="0">
    <w:p w14:paraId="66791409" w14:textId="77777777" w:rsidR="00327E5E" w:rsidRDefault="00327E5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C9B1BA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</w:t>
    </w:r>
    <w:r>
      <w:rPr>
        <w:sz w:val="28"/>
      </w:rPr>
      <w:t xml:space="preserve">mewn</w:t>
    </w:r>
    <w:r>
      <w:rPr>
        <w:sz w:val="28"/>
      </w:rPr>
      <w:br/>
    </w:r>
    <w:r>
      <w:rPr>
        <w:sz w:val="28"/>
        <w:b/>
      </w:rPr>
      <w:t xml:space="preserve">Adeiladu a Pheirianneg Gwasanaethau Adeiladu (Lefel 2)</w:t>
    </w:r>
  </w:p>
  <w:p w14:paraId="6D5BF42A" w14:textId="75D154F6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3F778FAD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202 Taflen waith </w:t>
    </w:r>
    <w:r>
      <w:rPr>
        <w:color w:val="0077E3"/>
        <w:sz w:val="24"/>
      </w:rPr>
      <w:t xml:space="preserve"> </w:t>
    </w:r>
  </w:p>
  <w:p w14:paraId="7AB55AD3" w14:textId="77777777" w:rsidR="00E868F3" w:rsidRPr="00F03E33" w:rsidRDefault="00E868F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3D38EE"/>
    <w:multiLevelType w:val="hybridMultilevel"/>
    <w:tmpl w:val="A60A57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35C58"/>
    <w:multiLevelType w:val="hybridMultilevel"/>
    <w:tmpl w:val="9B5230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04AE4"/>
    <w:multiLevelType w:val="multilevel"/>
    <w:tmpl w:val="7D06B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05E1C"/>
    <w:multiLevelType w:val="hybridMultilevel"/>
    <w:tmpl w:val="24DEE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016CBF"/>
    <w:multiLevelType w:val="multilevel"/>
    <w:tmpl w:val="634E4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DBEBCB"/>
    <w:multiLevelType w:val="hybridMultilevel"/>
    <w:tmpl w:val="C03EBB76"/>
    <w:lvl w:ilvl="0" w:tplc="2B441EB6">
      <w:start w:val="1"/>
      <w:numFmt w:val="decimal"/>
      <w:lvlText w:val="%1."/>
      <w:lvlJc w:val="left"/>
      <w:pPr>
        <w:ind w:left="720" w:hanging="360"/>
      </w:pPr>
    </w:lvl>
    <w:lvl w:ilvl="1" w:tplc="A7B6669E">
      <w:start w:val="1"/>
      <w:numFmt w:val="lowerLetter"/>
      <w:lvlText w:val="%2."/>
      <w:lvlJc w:val="left"/>
      <w:pPr>
        <w:ind w:left="1440" w:hanging="360"/>
      </w:pPr>
    </w:lvl>
    <w:lvl w:ilvl="2" w:tplc="57C80BBA">
      <w:start w:val="1"/>
      <w:numFmt w:val="lowerRoman"/>
      <w:lvlText w:val="%3."/>
      <w:lvlJc w:val="right"/>
      <w:pPr>
        <w:ind w:left="2160" w:hanging="180"/>
      </w:pPr>
    </w:lvl>
    <w:lvl w:ilvl="3" w:tplc="63288ECE">
      <w:start w:val="1"/>
      <w:numFmt w:val="decimal"/>
      <w:lvlText w:val="%4."/>
      <w:lvlJc w:val="left"/>
      <w:pPr>
        <w:ind w:left="2880" w:hanging="360"/>
      </w:pPr>
    </w:lvl>
    <w:lvl w:ilvl="4" w:tplc="16F2BCF2">
      <w:start w:val="1"/>
      <w:numFmt w:val="lowerLetter"/>
      <w:lvlText w:val="%5."/>
      <w:lvlJc w:val="left"/>
      <w:pPr>
        <w:ind w:left="3600" w:hanging="360"/>
      </w:pPr>
    </w:lvl>
    <w:lvl w:ilvl="5" w:tplc="29E49EDE">
      <w:start w:val="1"/>
      <w:numFmt w:val="lowerRoman"/>
      <w:lvlText w:val="%6."/>
      <w:lvlJc w:val="right"/>
      <w:pPr>
        <w:ind w:left="4320" w:hanging="180"/>
      </w:pPr>
    </w:lvl>
    <w:lvl w:ilvl="6" w:tplc="4950E0D0">
      <w:start w:val="1"/>
      <w:numFmt w:val="decimal"/>
      <w:lvlText w:val="%7."/>
      <w:lvlJc w:val="left"/>
      <w:pPr>
        <w:ind w:left="5040" w:hanging="360"/>
      </w:pPr>
    </w:lvl>
    <w:lvl w:ilvl="7" w:tplc="3C92F5E2">
      <w:start w:val="1"/>
      <w:numFmt w:val="lowerLetter"/>
      <w:lvlText w:val="%8."/>
      <w:lvlJc w:val="left"/>
      <w:pPr>
        <w:ind w:left="5760" w:hanging="360"/>
      </w:pPr>
    </w:lvl>
    <w:lvl w:ilvl="8" w:tplc="71DCA3CA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4310161">
    <w:abstractNumId w:val="18"/>
  </w:num>
  <w:num w:numId="2" w16cid:durableId="755175979">
    <w:abstractNumId w:val="7"/>
  </w:num>
  <w:num w:numId="3" w16cid:durableId="1949265850">
    <w:abstractNumId w:val="20"/>
  </w:num>
  <w:num w:numId="4" w16cid:durableId="575240197">
    <w:abstractNumId w:val="27"/>
  </w:num>
  <w:num w:numId="5" w16cid:durableId="200174628">
    <w:abstractNumId w:val="22"/>
  </w:num>
  <w:num w:numId="6" w16cid:durableId="1199467853">
    <w:abstractNumId w:val="10"/>
  </w:num>
  <w:num w:numId="7" w16cid:durableId="480662615">
    <w:abstractNumId w:val="21"/>
  </w:num>
  <w:num w:numId="8" w16cid:durableId="602878766">
    <w:abstractNumId w:val="10"/>
  </w:num>
  <w:num w:numId="9" w16cid:durableId="99032213">
    <w:abstractNumId w:val="3"/>
  </w:num>
  <w:num w:numId="10" w16cid:durableId="1005980649">
    <w:abstractNumId w:val="10"/>
    <w:lvlOverride w:ilvl="0">
      <w:startOverride w:val="1"/>
    </w:lvlOverride>
  </w:num>
  <w:num w:numId="11" w16cid:durableId="2049604203">
    <w:abstractNumId w:val="23"/>
  </w:num>
  <w:num w:numId="12" w16cid:durableId="748697778">
    <w:abstractNumId w:val="19"/>
  </w:num>
  <w:num w:numId="13" w16cid:durableId="548224209">
    <w:abstractNumId w:val="8"/>
  </w:num>
  <w:num w:numId="14" w16cid:durableId="1517960841">
    <w:abstractNumId w:val="17"/>
  </w:num>
  <w:num w:numId="15" w16cid:durableId="1645626353">
    <w:abstractNumId w:val="24"/>
  </w:num>
  <w:num w:numId="16" w16cid:durableId="1670447233">
    <w:abstractNumId w:val="15"/>
  </w:num>
  <w:num w:numId="17" w16cid:durableId="701174652">
    <w:abstractNumId w:val="9"/>
  </w:num>
  <w:num w:numId="18" w16cid:durableId="1851487821">
    <w:abstractNumId w:val="29"/>
  </w:num>
  <w:num w:numId="19" w16cid:durableId="73163867">
    <w:abstractNumId w:val="30"/>
  </w:num>
  <w:num w:numId="20" w16cid:durableId="166944912">
    <w:abstractNumId w:val="5"/>
  </w:num>
  <w:num w:numId="21" w16cid:durableId="503715088">
    <w:abstractNumId w:val="4"/>
  </w:num>
  <w:num w:numId="22" w16cid:durableId="1947807986">
    <w:abstractNumId w:val="13"/>
  </w:num>
  <w:num w:numId="23" w16cid:durableId="2014602665">
    <w:abstractNumId w:val="13"/>
    <w:lvlOverride w:ilvl="0">
      <w:startOverride w:val="1"/>
    </w:lvlOverride>
  </w:num>
  <w:num w:numId="24" w16cid:durableId="874853888">
    <w:abstractNumId w:val="28"/>
  </w:num>
  <w:num w:numId="25" w16cid:durableId="1917277197">
    <w:abstractNumId w:val="13"/>
    <w:lvlOverride w:ilvl="0">
      <w:startOverride w:val="1"/>
    </w:lvlOverride>
  </w:num>
  <w:num w:numId="26" w16cid:durableId="1602495538">
    <w:abstractNumId w:val="13"/>
    <w:lvlOverride w:ilvl="0">
      <w:startOverride w:val="1"/>
    </w:lvlOverride>
  </w:num>
  <w:num w:numId="27" w16cid:durableId="1381633102">
    <w:abstractNumId w:val="14"/>
  </w:num>
  <w:num w:numId="28" w16cid:durableId="886331592">
    <w:abstractNumId w:val="25"/>
  </w:num>
  <w:num w:numId="29" w16cid:durableId="429549506">
    <w:abstractNumId w:val="13"/>
    <w:lvlOverride w:ilvl="0">
      <w:startOverride w:val="1"/>
    </w:lvlOverride>
  </w:num>
  <w:num w:numId="30" w16cid:durableId="2061587173">
    <w:abstractNumId w:val="26"/>
  </w:num>
  <w:num w:numId="31" w16cid:durableId="804079138">
    <w:abstractNumId w:val="13"/>
  </w:num>
  <w:num w:numId="32" w16cid:durableId="1454598225">
    <w:abstractNumId w:val="13"/>
    <w:lvlOverride w:ilvl="0">
      <w:startOverride w:val="1"/>
    </w:lvlOverride>
  </w:num>
  <w:num w:numId="33" w16cid:durableId="1452480682">
    <w:abstractNumId w:val="13"/>
    <w:lvlOverride w:ilvl="0">
      <w:startOverride w:val="1"/>
    </w:lvlOverride>
  </w:num>
  <w:num w:numId="34" w16cid:durableId="56364577">
    <w:abstractNumId w:val="0"/>
  </w:num>
  <w:num w:numId="35" w16cid:durableId="1081222070">
    <w:abstractNumId w:val="16"/>
  </w:num>
  <w:num w:numId="36" w16cid:durableId="2125539507">
    <w:abstractNumId w:val="6"/>
  </w:num>
  <w:num w:numId="37" w16cid:durableId="938366909">
    <w:abstractNumId w:val="12"/>
  </w:num>
  <w:num w:numId="38" w16cid:durableId="660231977">
    <w:abstractNumId w:val="1"/>
  </w:num>
  <w:num w:numId="39" w16cid:durableId="600837110">
    <w:abstractNumId w:val="11"/>
  </w:num>
  <w:num w:numId="40" w16cid:durableId="10501807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B260F"/>
    <w:rsid w:val="000E194B"/>
    <w:rsid w:val="000F025D"/>
    <w:rsid w:val="00110217"/>
    <w:rsid w:val="00123282"/>
    <w:rsid w:val="00152AC3"/>
    <w:rsid w:val="00156AF3"/>
    <w:rsid w:val="0019491D"/>
    <w:rsid w:val="001B225C"/>
    <w:rsid w:val="001C79D4"/>
    <w:rsid w:val="001D6B1F"/>
    <w:rsid w:val="001F74AD"/>
    <w:rsid w:val="0028755B"/>
    <w:rsid w:val="002D07A8"/>
    <w:rsid w:val="0032120A"/>
    <w:rsid w:val="00327E5E"/>
    <w:rsid w:val="003405EA"/>
    <w:rsid w:val="00372901"/>
    <w:rsid w:val="00384E4A"/>
    <w:rsid w:val="00404B31"/>
    <w:rsid w:val="00454996"/>
    <w:rsid w:val="00474F67"/>
    <w:rsid w:val="0048500D"/>
    <w:rsid w:val="00524E1B"/>
    <w:rsid w:val="00594062"/>
    <w:rsid w:val="005A6C46"/>
    <w:rsid w:val="006135C0"/>
    <w:rsid w:val="006642FD"/>
    <w:rsid w:val="006807B0"/>
    <w:rsid w:val="00691B95"/>
    <w:rsid w:val="006A0D7B"/>
    <w:rsid w:val="006B05BB"/>
    <w:rsid w:val="006B1978"/>
    <w:rsid w:val="006B798A"/>
    <w:rsid w:val="006D3AA3"/>
    <w:rsid w:val="006D4994"/>
    <w:rsid w:val="006E1028"/>
    <w:rsid w:val="006E19C2"/>
    <w:rsid w:val="006F7BAF"/>
    <w:rsid w:val="00733619"/>
    <w:rsid w:val="00761F97"/>
    <w:rsid w:val="00795D39"/>
    <w:rsid w:val="00797FA7"/>
    <w:rsid w:val="007F26E9"/>
    <w:rsid w:val="0081000E"/>
    <w:rsid w:val="008C1F1C"/>
    <w:rsid w:val="008C3369"/>
    <w:rsid w:val="008D47A6"/>
    <w:rsid w:val="00912FC5"/>
    <w:rsid w:val="009321BB"/>
    <w:rsid w:val="00960E81"/>
    <w:rsid w:val="009829BA"/>
    <w:rsid w:val="0098676D"/>
    <w:rsid w:val="009975A0"/>
    <w:rsid w:val="009A642D"/>
    <w:rsid w:val="009C3D10"/>
    <w:rsid w:val="009C5C6E"/>
    <w:rsid w:val="009E4022"/>
    <w:rsid w:val="009F6254"/>
    <w:rsid w:val="00A2454C"/>
    <w:rsid w:val="00A246F9"/>
    <w:rsid w:val="00A54AB2"/>
    <w:rsid w:val="00A5731E"/>
    <w:rsid w:val="00A57B5D"/>
    <w:rsid w:val="00A74824"/>
    <w:rsid w:val="00A87960"/>
    <w:rsid w:val="00AC35CA"/>
    <w:rsid w:val="00AE245C"/>
    <w:rsid w:val="00B054EC"/>
    <w:rsid w:val="00B90804"/>
    <w:rsid w:val="00BE2C21"/>
    <w:rsid w:val="00C01D20"/>
    <w:rsid w:val="00C202BF"/>
    <w:rsid w:val="00C668D2"/>
    <w:rsid w:val="00C858D7"/>
    <w:rsid w:val="00D073BC"/>
    <w:rsid w:val="00D56B82"/>
    <w:rsid w:val="00D61F78"/>
    <w:rsid w:val="00DA2485"/>
    <w:rsid w:val="00DE29A8"/>
    <w:rsid w:val="00E447C6"/>
    <w:rsid w:val="00E868F3"/>
    <w:rsid w:val="00ED6C9E"/>
    <w:rsid w:val="00F03E33"/>
    <w:rsid w:val="00F15749"/>
    <w:rsid w:val="00F42A36"/>
    <w:rsid w:val="00FD52DA"/>
    <w:rsid w:val="00FF2FC2"/>
    <w:rsid w:val="1F8CA3D8"/>
    <w:rsid w:val="2234A05B"/>
    <w:rsid w:val="39013CFA"/>
    <w:rsid w:val="3DD4AE1D"/>
    <w:rsid w:val="40F32682"/>
    <w:rsid w:val="5398DDA0"/>
    <w:rsid w:val="5534AE01"/>
    <w:rsid w:val="7E4E8F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0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0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668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rsid w:val="00C668D2"/>
    <w:pPr>
      <w:ind w:left="720"/>
      <w:contextualSpacing/>
    </w:pPr>
  </w:style>
  <w:style w:type="paragraph" w:styleId="Revision">
    <w:name w:val="Revision"/>
    <w:hidden/>
    <w:semiHidden/>
    <w:rsid w:val="009321BB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73361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336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3361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336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33619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6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6</cp:revision>
  <cp:lastPrinted>2023-03-14T16:12:00Z</cp:lastPrinted>
  <dcterms:created xsi:type="dcterms:W3CDTF">2023-07-03T16:26:00Z</dcterms:created>
  <dcterms:modified xsi:type="dcterms:W3CDTF">2023-07-26T12:30:00Z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