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FB71F" w14:textId="77777777" w:rsidR="001847C2" w:rsidRDefault="001847C2" w:rsidP="00F70874">
      <w:pPr>
        <w:pStyle w:val="Unittitle"/>
        <w:spacing w:after="200"/>
      </w:pPr>
    </w:p>
    <w:p w14:paraId="7D839556" w14:textId="38849C7C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06AC1">
        <w:t>2</w:t>
      </w:r>
      <w:r w:rsidRPr="007051BD">
        <w:t xml:space="preserve">: </w:t>
      </w:r>
      <w:r w:rsidR="00A627AC" w:rsidRPr="00441437">
        <w:t>Changing practices over time</w:t>
      </w:r>
    </w:p>
    <w:p w14:paraId="73E9346F" w14:textId="4E2EB4F4" w:rsidR="00F06AC1" w:rsidRPr="00CD3957" w:rsidRDefault="00474F67" w:rsidP="009C5453">
      <w:pPr>
        <w:pStyle w:val="Unittitle"/>
        <w:rPr>
          <w:color w:val="0077E3"/>
        </w:rPr>
      </w:pPr>
      <w:r w:rsidRPr="00CD3957">
        <w:rPr>
          <w:color w:val="0077E3"/>
        </w:rPr>
        <w:t xml:space="preserve">Worksheet </w:t>
      </w:r>
      <w:r w:rsidR="009C5453" w:rsidRPr="00CD3957">
        <w:rPr>
          <w:color w:val="0077E3"/>
        </w:rPr>
        <w:t>3</w:t>
      </w:r>
      <w:r w:rsidRPr="00CD3957">
        <w:rPr>
          <w:color w:val="0077E3"/>
        </w:rPr>
        <w:t xml:space="preserve">: </w:t>
      </w:r>
      <w:r w:rsidR="009C5453" w:rsidRPr="00CD3957">
        <w:rPr>
          <w:color w:val="0077E3"/>
        </w:rPr>
        <w:t xml:space="preserve">National Occupational Standards and </w:t>
      </w:r>
      <w:r w:rsidR="00A627AC" w:rsidRPr="00CD3957">
        <w:rPr>
          <w:color w:val="0077E3"/>
        </w:rPr>
        <w:t>related occupational standards (Tutor)</w:t>
      </w:r>
      <w:r w:rsidR="00D35919" w:rsidRPr="00CD3957">
        <w:rPr>
          <w:color w:val="0077E3"/>
        </w:rPr>
        <w:t xml:space="preserve"> </w:t>
      </w:r>
    </w:p>
    <w:p w14:paraId="3AAB7228" w14:textId="48278B71" w:rsidR="00D35919" w:rsidRDefault="000E611B" w:rsidP="009C5453">
      <w:pPr>
        <w:pStyle w:val="Unittitle"/>
        <w:rPr>
          <w:b w:val="0"/>
          <w:sz w:val="24"/>
        </w:rPr>
      </w:pPr>
      <w:r w:rsidRPr="00CD3957">
        <w:rPr>
          <w:bCs/>
          <w:noProof/>
          <w:color w:val="FF0000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1F0AAF" wp14:editId="39006600">
                <wp:simplePos x="0" y="0"/>
                <wp:positionH relativeFrom="column">
                  <wp:posOffset>1652905</wp:posOffset>
                </wp:positionH>
                <wp:positionV relativeFrom="paragraph">
                  <wp:posOffset>668655</wp:posOffset>
                </wp:positionV>
                <wp:extent cx="1968500" cy="3327400"/>
                <wp:effectExtent l="19050" t="19050" r="69850" b="444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8500" cy="33274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5DB1FC" id="Straight Connector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15pt,52.65pt" to="285.15pt,3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" strokecolor="red" strokeweight="2.25pt">
                <v:stroke endarrow="open" joinstyle="miter"/>
              </v:line>
            </w:pict>
          </mc:Fallback>
        </mc:AlternateContent>
      </w:r>
      <w:r w:rsidR="00B45871" w:rsidRPr="00CD3957">
        <w:rPr>
          <w:bCs/>
          <w:sz w:val="24"/>
        </w:rPr>
        <w:t>Task 1:</w:t>
      </w:r>
      <w:r w:rsidR="00B45871">
        <w:rPr>
          <w:b w:val="0"/>
          <w:sz w:val="24"/>
        </w:rPr>
        <w:t xml:space="preserve"> </w:t>
      </w:r>
      <w:r w:rsidR="00D35919">
        <w:rPr>
          <w:b w:val="0"/>
          <w:sz w:val="24"/>
        </w:rPr>
        <w:t xml:space="preserve">Connect the </w:t>
      </w:r>
      <w:r w:rsidR="00146758">
        <w:rPr>
          <w:b w:val="0"/>
          <w:sz w:val="24"/>
        </w:rPr>
        <w:t>standards</w:t>
      </w:r>
      <w:r w:rsidR="00D35919">
        <w:rPr>
          <w:b w:val="0"/>
          <w:sz w:val="24"/>
        </w:rPr>
        <w:t>/</w:t>
      </w:r>
      <w:r w:rsidR="00146758">
        <w:rPr>
          <w:b w:val="0"/>
          <w:sz w:val="24"/>
        </w:rPr>
        <w:t xml:space="preserve">organisation </w:t>
      </w:r>
      <w:r w:rsidR="00D35919">
        <w:rPr>
          <w:b w:val="0"/>
          <w:sz w:val="24"/>
        </w:rPr>
        <w:t xml:space="preserve">to the </w:t>
      </w:r>
      <w:r w:rsidR="00B45871">
        <w:rPr>
          <w:b w:val="0"/>
          <w:sz w:val="24"/>
        </w:rPr>
        <w:t>d</w:t>
      </w:r>
      <w:r w:rsidR="00D35919">
        <w:rPr>
          <w:b w:val="0"/>
          <w:sz w:val="24"/>
        </w:rPr>
        <w:t xml:space="preserve">escriptions. </w:t>
      </w:r>
    </w:p>
    <w:tbl>
      <w:tblPr>
        <w:tblStyle w:val="TableGrid"/>
        <w:tblW w:w="14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5"/>
        <w:gridCol w:w="9072"/>
      </w:tblGrid>
      <w:tr w:rsidR="00D35919" w14:paraId="0512684A" w14:textId="77777777" w:rsidTr="001847C2">
        <w:trPr>
          <w:trHeight w:val="20"/>
        </w:trPr>
        <w:tc>
          <w:tcPr>
            <w:tcW w:w="2830" w:type="dxa"/>
            <w:vAlign w:val="center"/>
          </w:tcPr>
          <w:p w14:paraId="047786F5" w14:textId="5E71B78A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Local Government Association </w:t>
            </w:r>
          </w:p>
        </w:tc>
        <w:tc>
          <w:tcPr>
            <w:tcW w:w="2835" w:type="dxa"/>
            <w:vAlign w:val="center"/>
          </w:tcPr>
          <w:p w14:paraId="78810824" w14:textId="588F40AD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0922548D" w14:textId="01A857D6" w:rsidR="00D35919" w:rsidRDefault="000711DD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A </w:t>
            </w:r>
            <w:r w:rsidRPr="000711DD">
              <w:rPr>
                <w:b w:val="0"/>
                <w:sz w:val="24"/>
              </w:rPr>
              <w:t>set of guidelines that outline the skills, knowledge and performance criteria required for those working in the groundworks industry.</w:t>
            </w:r>
          </w:p>
        </w:tc>
      </w:tr>
      <w:tr w:rsidR="00D35919" w14:paraId="408DBA96" w14:textId="77777777" w:rsidTr="001847C2">
        <w:trPr>
          <w:trHeight w:val="643"/>
        </w:trPr>
        <w:tc>
          <w:tcPr>
            <w:tcW w:w="2830" w:type="dxa"/>
            <w:vAlign w:val="center"/>
          </w:tcPr>
          <w:p w14:paraId="2E3781CD" w14:textId="13413167" w:rsidR="00D35919" w:rsidRDefault="000711DD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National Occupational Standards </w:t>
            </w:r>
          </w:p>
        </w:tc>
        <w:tc>
          <w:tcPr>
            <w:tcW w:w="2835" w:type="dxa"/>
            <w:vAlign w:val="center"/>
          </w:tcPr>
          <w:p w14:paraId="227B61AD" w14:textId="66A6886B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2A978EE" wp14:editId="5689B75E">
                      <wp:simplePos x="0" y="0"/>
                      <wp:positionH relativeFrom="column">
                        <wp:posOffset>-704850</wp:posOffset>
                      </wp:positionH>
                      <wp:positionV relativeFrom="paragraph">
                        <wp:posOffset>-490220</wp:posOffset>
                      </wp:positionV>
                      <wp:extent cx="2463800" cy="869950"/>
                      <wp:effectExtent l="19050" t="57150" r="31750" b="2540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463800" cy="8699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8BDE7F" id="Straight Connector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5.5pt,-38.6pt" to="138.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" strokecolor="red" strokeweight="2.25pt">
                      <v:stroke endarrow="open" joinstyle="miter"/>
                    </v:line>
                  </w:pict>
                </mc:Fallback>
              </mc:AlternateContent>
            </w:r>
          </w:p>
        </w:tc>
        <w:tc>
          <w:tcPr>
            <w:tcW w:w="9072" w:type="dxa"/>
            <w:vAlign w:val="center"/>
          </w:tcPr>
          <w:p w14:paraId="725EF945" w14:textId="323E5A4D" w:rsidR="00D35919" w:rsidRDefault="00D35919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E</w:t>
            </w:r>
            <w:r w:rsidRPr="00D35919">
              <w:rPr>
                <w:b w:val="0"/>
                <w:sz w:val="24"/>
              </w:rPr>
              <w:t xml:space="preserve">nsure the health, </w:t>
            </w:r>
            <w:proofErr w:type="gramStart"/>
            <w:r w:rsidRPr="00D35919">
              <w:rPr>
                <w:b w:val="0"/>
                <w:sz w:val="24"/>
              </w:rPr>
              <w:t>safety</w:t>
            </w:r>
            <w:proofErr w:type="gramEnd"/>
            <w:r w:rsidRPr="00D35919">
              <w:rPr>
                <w:b w:val="0"/>
                <w:sz w:val="24"/>
              </w:rPr>
              <w:t xml:space="preserve"> and welfare of people in and around buildings. They set out minimum standards for design and construction and cover a wide range of areas</w:t>
            </w:r>
            <w:r w:rsidR="008B42ED">
              <w:rPr>
                <w:b w:val="0"/>
                <w:sz w:val="24"/>
              </w:rPr>
              <w:t>.</w:t>
            </w:r>
          </w:p>
        </w:tc>
      </w:tr>
      <w:tr w:rsidR="00D35919" w14:paraId="6B6D9B26" w14:textId="77777777" w:rsidTr="001847C2">
        <w:trPr>
          <w:trHeight w:val="20"/>
        </w:trPr>
        <w:tc>
          <w:tcPr>
            <w:tcW w:w="2830" w:type="dxa"/>
            <w:vAlign w:val="center"/>
          </w:tcPr>
          <w:p w14:paraId="183BE356" w14:textId="0506831D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D76B08" wp14:editId="06228636">
                      <wp:simplePos x="0" y="0"/>
                      <wp:positionH relativeFrom="column">
                        <wp:posOffset>939800</wp:posOffset>
                      </wp:positionH>
                      <wp:positionV relativeFrom="paragraph">
                        <wp:posOffset>367030</wp:posOffset>
                      </wp:positionV>
                      <wp:extent cx="2628900" cy="1009650"/>
                      <wp:effectExtent l="19050" t="19050" r="76200" b="571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8900" cy="10096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463688" id="Straight Connector 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pt,28.9pt" to="281pt,1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" strokecolor="red" strokeweight="2.25pt">
                      <v:stroke endarrow="open" joinstyle="miter"/>
                    </v:line>
                  </w:pict>
                </mc:Fallback>
              </mc:AlternateContent>
            </w:r>
            <w:r>
              <w:rPr>
                <w:b w:val="0"/>
                <w:sz w:val="24"/>
              </w:rPr>
              <w:t xml:space="preserve">Department for Transport </w:t>
            </w:r>
          </w:p>
        </w:tc>
        <w:tc>
          <w:tcPr>
            <w:tcW w:w="2835" w:type="dxa"/>
            <w:vAlign w:val="center"/>
          </w:tcPr>
          <w:p w14:paraId="4C8D21B9" w14:textId="1DCC54E7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167C84" wp14:editId="7EDF4ADD">
                      <wp:simplePos x="0" y="0"/>
                      <wp:positionH relativeFrom="column">
                        <wp:posOffset>-495300</wp:posOffset>
                      </wp:positionH>
                      <wp:positionV relativeFrom="paragraph">
                        <wp:posOffset>290830</wp:posOffset>
                      </wp:positionV>
                      <wp:extent cx="2203450" cy="2152650"/>
                      <wp:effectExtent l="19050" t="38100" r="444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03450" cy="21526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42FB67" id="Straight Connector 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9pt,22.9pt" to="134.5pt,19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" strokecolor="red" strokeweight="2.25pt">
                      <v:stroke endarrow="open" joinstyle="miter"/>
                    </v:line>
                  </w:pict>
                </mc:Fallback>
              </mc:AlternateContent>
            </w:r>
          </w:p>
        </w:tc>
        <w:tc>
          <w:tcPr>
            <w:tcW w:w="9072" w:type="dxa"/>
            <w:vAlign w:val="center"/>
          </w:tcPr>
          <w:p w14:paraId="5D539AFC" w14:textId="59E19884" w:rsidR="00D35919" w:rsidRDefault="000711DD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P</w:t>
            </w:r>
            <w:r w:rsidRPr="00D35919">
              <w:rPr>
                <w:b w:val="0"/>
                <w:sz w:val="24"/>
              </w:rPr>
              <w:t>roduces a wide range of standards that cover everything from the properties of construction materials to the design and construction of specific elements of civil engineering work</w:t>
            </w:r>
            <w:r>
              <w:rPr>
                <w:b w:val="0"/>
                <w:sz w:val="24"/>
              </w:rPr>
              <w:t xml:space="preserve"> and p</w:t>
            </w:r>
            <w:r w:rsidR="00D35919" w:rsidRPr="00D35919">
              <w:rPr>
                <w:b w:val="0"/>
                <w:sz w:val="24"/>
              </w:rPr>
              <w:t>rovide guidance on construction methods and materials.</w:t>
            </w:r>
          </w:p>
        </w:tc>
      </w:tr>
      <w:tr w:rsidR="00D35919" w14:paraId="4E41B258" w14:textId="77777777" w:rsidTr="001847C2">
        <w:trPr>
          <w:trHeight w:val="850"/>
        </w:trPr>
        <w:tc>
          <w:tcPr>
            <w:tcW w:w="2830" w:type="dxa"/>
            <w:vAlign w:val="center"/>
          </w:tcPr>
          <w:p w14:paraId="66E5E655" w14:textId="1361D737" w:rsidR="00D35919" w:rsidRDefault="000711DD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Building Regulations</w:t>
            </w:r>
          </w:p>
        </w:tc>
        <w:tc>
          <w:tcPr>
            <w:tcW w:w="2835" w:type="dxa"/>
            <w:vAlign w:val="center"/>
          </w:tcPr>
          <w:p w14:paraId="1CC22984" w14:textId="222189B4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2C93830" wp14:editId="6DE80149">
                      <wp:simplePos x="0" y="0"/>
                      <wp:positionH relativeFrom="column">
                        <wp:posOffset>-311150</wp:posOffset>
                      </wp:positionH>
                      <wp:positionV relativeFrom="paragraph">
                        <wp:posOffset>-1620520</wp:posOffset>
                      </wp:positionV>
                      <wp:extent cx="2032000" cy="1809750"/>
                      <wp:effectExtent l="19050" t="38100" r="444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32000" cy="180975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B08AA9" id="Straight Connector 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4.5pt,-127.6pt" to="135.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" strokecolor="red" strokeweight="2.25pt">
                      <v:stroke endarrow="open" joinstyle="miter"/>
                    </v:line>
                  </w:pict>
                </mc:Fallback>
              </mc:AlternateContent>
            </w:r>
          </w:p>
        </w:tc>
        <w:tc>
          <w:tcPr>
            <w:tcW w:w="9072" w:type="dxa"/>
            <w:vAlign w:val="center"/>
          </w:tcPr>
          <w:p w14:paraId="5FBF703D" w14:textId="1D1B003C" w:rsidR="00D35919" w:rsidRDefault="000E611B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R</w:t>
            </w:r>
            <w:r w:rsidR="000711DD" w:rsidRPr="000711DD">
              <w:rPr>
                <w:b w:val="0"/>
                <w:sz w:val="24"/>
              </w:rPr>
              <w:t xml:space="preserve">esponsible for establishing policies and regulations concerning transportation infrastructure, which includes roads and highways. With regards to groundworks, </w:t>
            </w:r>
            <w:r>
              <w:rPr>
                <w:b w:val="0"/>
                <w:sz w:val="24"/>
              </w:rPr>
              <w:t xml:space="preserve">also responsible for </w:t>
            </w:r>
            <w:r w:rsidR="000711DD" w:rsidRPr="000711DD">
              <w:rPr>
                <w:b w:val="0"/>
                <w:sz w:val="24"/>
              </w:rPr>
              <w:t xml:space="preserve">determining standards and guidelines for the construction, </w:t>
            </w:r>
            <w:proofErr w:type="gramStart"/>
            <w:r w:rsidR="000711DD" w:rsidRPr="000711DD">
              <w:rPr>
                <w:b w:val="0"/>
                <w:sz w:val="24"/>
              </w:rPr>
              <w:t>maintenance</w:t>
            </w:r>
            <w:proofErr w:type="gramEnd"/>
            <w:r w:rsidR="000711DD" w:rsidRPr="000711DD">
              <w:rPr>
                <w:b w:val="0"/>
                <w:sz w:val="24"/>
              </w:rPr>
              <w:t xml:space="preserve"> and operation of transportation infrastructure.</w:t>
            </w:r>
          </w:p>
        </w:tc>
      </w:tr>
      <w:tr w:rsidR="00D35919" w14:paraId="3166281A" w14:textId="77777777" w:rsidTr="001847C2">
        <w:trPr>
          <w:trHeight w:val="850"/>
        </w:trPr>
        <w:tc>
          <w:tcPr>
            <w:tcW w:w="2830" w:type="dxa"/>
            <w:vAlign w:val="center"/>
          </w:tcPr>
          <w:p w14:paraId="4963C02C" w14:textId="69FF0081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British Standards</w:t>
            </w:r>
            <w:r w:rsidR="00671001">
              <w:rPr>
                <w:b w:val="0"/>
                <w:sz w:val="24"/>
              </w:rPr>
              <w:t xml:space="preserve"> Institution </w:t>
            </w:r>
          </w:p>
        </w:tc>
        <w:tc>
          <w:tcPr>
            <w:tcW w:w="2835" w:type="dxa"/>
            <w:vAlign w:val="center"/>
          </w:tcPr>
          <w:p w14:paraId="12D02889" w14:textId="343DEC14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56AFCD5C" w14:textId="301D53F4" w:rsidR="00D35919" w:rsidRDefault="00146758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I</w:t>
            </w:r>
            <w:r w:rsidRPr="000711DD">
              <w:rPr>
                <w:b w:val="0"/>
                <w:sz w:val="24"/>
              </w:rPr>
              <w:t xml:space="preserve">ssues </w:t>
            </w:r>
            <w:r w:rsidR="000711DD" w:rsidRPr="000711DD">
              <w:rPr>
                <w:b w:val="0"/>
                <w:sz w:val="24"/>
              </w:rPr>
              <w:t xml:space="preserve">the Code of Practice for Well-managed Highway Infrastructure, which provides guidance on the management of roads and highways, including their design, </w:t>
            </w:r>
            <w:proofErr w:type="gramStart"/>
            <w:r w:rsidR="000711DD" w:rsidRPr="000711DD">
              <w:rPr>
                <w:b w:val="0"/>
                <w:sz w:val="24"/>
              </w:rPr>
              <w:t>construction</w:t>
            </w:r>
            <w:proofErr w:type="gramEnd"/>
            <w:r w:rsidR="000711DD" w:rsidRPr="000711DD">
              <w:rPr>
                <w:b w:val="0"/>
                <w:sz w:val="24"/>
              </w:rPr>
              <w:t xml:space="preserve"> and maintenance.</w:t>
            </w:r>
          </w:p>
        </w:tc>
      </w:tr>
    </w:tbl>
    <w:p w14:paraId="5E1D23F9" w14:textId="77777777" w:rsidR="001847C2" w:rsidRDefault="001847C2" w:rsidP="009C5453">
      <w:pPr>
        <w:pStyle w:val="Unittitle"/>
        <w:rPr>
          <w:b w:val="0"/>
          <w:sz w:val="24"/>
        </w:rPr>
        <w:sectPr w:rsidR="001847C2" w:rsidSect="00CD3957">
          <w:headerReference w:type="default" r:id="rId10"/>
          <w:footerReference w:type="default" r:id="rId11"/>
          <w:type w:val="continuous"/>
          <w:pgSz w:w="16840" w:h="11900" w:orient="landscape"/>
          <w:pgMar w:top="1191" w:right="1814" w:bottom="1191" w:left="1247" w:header="567" w:footer="567" w:gutter="0"/>
          <w:cols w:space="708"/>
          <w:docGrid w:linePitch="299"/>
        </w:sectPr>
      </w:pPr>
    </w:p>
    <w:p w14:paraId="55A3D96B" w14:textId="0F17DACE" w:rsidR="001847C2" w:rsidRDefault="00E9685C" w:rsidP="009C5453">
      <w:pPr>
        <w:pStyle w:val="Unittitle"/>
        <w:rPr>
          <w:b w:val="0"/>
          <w:sz w:val="24"/>
        </w:rPr>
      </w:pPr>
      <w:r w:rsidRPr="00CD3957">
        <w:rPr>
          <w:bCs/>
          <w:sz w:val="24"/>
        </w:rPr>
        <w:lastRenderedPageBreak/>
        <w:t>Task 2:</w:t>
      </w:r>
      <w:r>
        <w:rPr>
          <w:b w:val="0"/>
          <w:sz w:val="24"/>
        </w:rPr>
        <w:t xml:space="preserve"> </w:t>
      </w:r>
      <w:r w:rsidR="001847C2">
        <w:rPr>
          <w:b w:val="0"/>
          <w:sz w:val="24"/>
        </w:rPr>
        <w:t xml:space="preserve">Using the words provided </w:t>
      </w:r>
      <w:r w:rsidR="003265B5">
        <w:rPr>
          <w:b w:val="0"/>
          <w:sz w:val="24"/>
        </w:rPr>
        <w:t xml:space="preserve">below, </w:t>
      </w:r>
      <w:r w:rsidR="001847C2">
        <w:rPr>
          <w:b w:val="0"/>
          <w:sz w:val="24"/>
        </w:rPr>
        <w:t>fill in the gaps</w:t>
      </w:r>
      <w:r w:rsidR="00BF7175">
        <w:rPr>
          <w:b w:val="0"/>
          <w:sz w:val="24"/>
        </w:rPr>
        <w:t>.</w:t>
      </w:r>
    </w:p>
    <w:p w14:paraId="6DD7A565" w14:textId="2131C6C9" w:rsidR="001847C2" w:rsidRPr="00F06AC1" w:rsidRDefault="001847C2" w:rsidP="00CD3957">
      <w:pPr>
        <w:pStyle w:val="Unittitle"/>
        <w:spacing w:line="480" w:lineRule="auto"/>
        <w:rPr>
          <w:b w:val="0"/>
          <w:sz w:val="24"/>
        </w:rPr>
      </w:pPr>
      <w:r w:rsidRPr="009F07A9">
        <w:rPr>
          <w:b w:val="0"/>
          <w:sz w:val="24"/>
        </w:rPr>
        <w:t xml:space="preserve">The Building Regulations in the UK govern </w:t>
      </w:r>
      <w:r w:rsidRPr="00CD3957">
        <w:rPr>
          <w:b w:val="0"/>
          <w:bCs/>
          <w:iCs/>
          <w:color w:val="FF0000"/>
          <w:sz w:val="24"/>
        </w:rPr>
        <w:t>national</w:t>
      </w:r>
      <w:r w:rsidRPr="00CD3957">
        <w:rPr>
          <w:b w:val="0"/>
          <w:color w:val="FF0000"/>
          <w:sz w:val="24"/>
        </w:rPr>
        <w:t xml:space="preserve"> </w:t>
      </w:r>
      <w:r w:rsidRPr="009F07A9">
        <w:rPr>
          <w:b w:val="0"/>
          <w:sz w:val="24"/>
        </w:rPr>
        <w:t xml:space="preserve">standards for construction methods, covering areas such as </w:t>
      </w:r>
      <w:r w:rsidRPr="00CD3957">
        <w:rPr>
          <w:b w:val="0"/>
          <w:bCs/>
          <w:iCs/>
          <w:color w:val="FF0000"/>
          <w:sz w:val="24"/>
        </w:rPr>
        <w:t>structural safety</w:t>
      </w:r>
      <w:r w:rsidRPr="001847C2">
        <w:rPr>
          <w:i/>
          <w:sz w:val="24"/>
        </w:rPr>
        <w:t>,</w:t>
      </w:r>
      <w:r w:rsidRPr="009F07A9">
        <w:rPr>
          <w:b w:val="0"/>
          <w:sz w:val="24"/>
        </w:rPr>
        <w:t xml:space="preserve"> fire safety, energy efficiency, and access and facilities. British Standards and Eurocodes provide guidance on </w:t>
      </w:r>
      <w:r w:rsidRPr="00CD3957">
        <w:rPr>
          <w:b w:val="0"/>
          <w:bCs/>
          <w:iCs/>
          <w:color w:val="FF0000"/>
          <w:sz w:val="24"/>
        </w:rPr>
        <w:t>construction</w:t>
      </w:r>
      <w:r w:rsidRPr="00CD3957">
        <w:rPr>
          <w:i/>
          <w:color w:val="FF0000"/>
          <w:sz w:val="24"/>
        </w:rPr>
        <w:t xml:space="preserve"> </w:t>
      </w:r>
      <w:r w:rsidRPr="009F07A9">
        <w:rPr>
          <w:b w:val="0"/>
          <w:sz w:val="24"/>
        </w:rPr>
        <w:t xml:space="preserve">methods and materials for civil engineering and groundworks, including retaining walls, </w:t>
      </w:r>
      <w:proofErr w:type="gramStart"/>
      <w:r w:rsidRPr="009F07A9">
        <w:rPr>
          <w:b w:val="0"/>
          <w:sz w:val="24"/>
        </w:rPr>
        <w:t>foundations</w:t>
      </w:r>
      <w:proofErr w:type="gramEnd"/>
      <w:r w:rsidRPr="009F07A9">
        <w:rPr>
          <w:b w:val="0"/>
          <w:sz w:val="24"/>
        </w:rPr>
        <w:t xml:space="preserve"> and </w:t>
      </w:r>
      <w:r w:rsidRPr="00CD3957">
        <w:rPr>
          <w:b w:val="0"/>
          <w:bCs/>
          <w:iCs/>
          <w:color w:val="FF0000"/>
          <w:sz w:val="24"/>
        </w:rPr>
        <w:t>earthworks</w:t>
      </w:r>
      <w:r w:rsidRPr="009F07A9">
        <w:rPr>
          <w:b w:val="0"/>
          <w:sz w:val="24"/>
        </w:rPr>
        <w:t xml:space="preserve">. Compliance with these standards is not </w:t>
      </w:r>
      <w:r w:rsidRPr="00CD3957">
        <w:rPr>
          <w:b w:val="0"/>
          <w:bCs/>
          <w:iCs/>
          <w:color w:val="FF0000"/>
          <w:sz w:val="24"/>
        </w:rPr>
        <w:t>mandatory</w:t>
      </w:r>
      <w:r w:rsidRPr="001847C2">
        <w:rPr>
          <w:i/>
          <w:sz w:val="24"/>
        </w:rPr>
        <w:t>,</w:t>
      </w:r>
      <w:r w:rsidRPr="009F07A9">
        <w:rPr>
          <w:b w:val="0"/>
          <w:sz w:val="24"/>
        </w:rPr>
        <w:t xml:space="preserve"> but they are widely used by architects, </w:t>
      </w:r>
      <w:proofErr w:type="gramStart"/>
      <w:r w:rsidRPr="009F07A9">
        <w:rPr>
          <w:b w:val="0"/>
          <w:sz w:val="24"/>
        </w:rPr>
        <w:t>engineers</w:t>
      </w:r>
      <w:proofErr w:type="gramEnd"/>
      <w:r w:rsidRPr="009F07A9">
        <w:rPr>
          <w:b w:val="0"/>
          <w:sz w:val="24"/>
        </w:rPr>
        <w:t xml:space="preserve"> and contractors to ensure that buildings and civil engineering works are constructed to a high standard. The National </w:t>
      </w:r>
      <w:r w:rsidRPr="00CD3957">
        <w:rPr>
          <w:b w:val="0"/>
          <w:bCs/>
          <w:iCs/>
          <w:color w:val="FF0000"/>
          <w:sz w:val="24"/>
        </w:rPr>
        <w:t>Occupational</w:t>
      </w:r>
      <w:r w:rsidRPr="00CD3957">
        <w:rPr>
          <w:i/>
          <w:color w:val="FF0000"/>
          <w:sz w:val="24"/>
        </w:rPr>
        <w:t xml:space="preserve"> </w:t>
      </w:r>
      <w:r w:rsidRPr="009F07A9">
        <w:rPr>
          <w:b w:val="0"/>
          <w:sz w:val="24"/>
        </w:rPr>
        <w:t xml:space="preserve">Standards (NOS) for </w:t>
      </w:r>
      <w:r w:rsidR="00146758">
        <w:rPr>
          <w:b w:val="0"/>
          <w:sz w:val="24"/>
        </w:rPr>
        <w:t>g</w:t>
      </w:r>
      <w:r w:rsidR="00146758" w:rsidRPr="009F07A9">
        <w:rPr>
          <w:b w:val="0"/>
          <w:sz w:val="24"/>
        </w:rPr>
        <w:t xml:space="preserve">roundworkers </w:t>
      </w:r>
      <w:r w:rsidRPr="009F07A9">
        <w:rPr>
          <w:b w:val="0"/>
          <w:sz w:val="24"/>
        </w:rPr>
        <w:t xml:space="preserve">are a set of guidelines outlining skills, knowledge, and performance criteria required for those working in the </w:t>
      </w:r>
      <w:r w:rsidRPr="00CD3957">
        <w:rPr>
          <w:b w:val="0"/>
          <w:bCs/>
          <w:iCs/>
          <w:color w:val="FF0000"/>
          <w:sz w:val="24"/>
        </w:rPr>
        <w:t>groundworks</w:t>
      </w:r>
      <w:r w:rsidRPr="00CD3957">
        <w:rPr>
          <w:b w:val="0"/>
          <w:color w:val="FF0000"/>
          <w:sz w:val="24"/>
        </w:rPr>
        <w:t xml:space="preserve"> </w:t>
      </w:r>
      <w:r w:rsidRPr="009F07A9">
        <w:rPr>
          <w:b w:val="0"/>
          <w:sz w:val="24"/>
        </w:rPr>
        <w:t xml:space="preserve">industry, covering areas such as health and safety, communication, teamwork, </w:t>
      </w:r>
      <w:r w:rsidRPr="00CD3957">
        <w:rPr>
          <w:b w:val="0"/>
          <w:bCs/>
          <w:iCs/>
          <w:color w:val="FF0000"/>
          <w:sz w:val="24"/>
        </w:rPr>
        <w:t>excavation</w:t>
      </w:r>
      <w:r w:rsidRPr="001847C2">
        <w:rPr>
          <w:i/>
          <w:sz w:val="24"/>
        </w:rPr>
        <w:t>,</w:t>
      </w:r>
      <w:r w:rsidRPr="009F07A9">
        <w:rPr>
          <w:b w:val="0"/>
          <w:sz w:val="24"/>
        </w:rPr>
        <w:t xml:space="preserve"> drainage, and paving. The standards provide a </w:t>
      </w:r>
      <w:r w:rsidRPr="00CD3957">
        <w:rPr>
          <w:b w:val="0"/>
          <w:bCs/>
          <w:iCs/>
          <w:color w:val="FF0000"/>
          <w:sz w:val="24"/>
        </w:rPr>
        <w:t>framework</w:t>
      </w:r>
      <w:r w:rsidRPr="00CD3957">
        <w:rPr>
          <w:b w:val="0"/>
          <w:color w:val="FF0000"/>
          <w:sz w:val="24"/>
        </w:rPr>
        <w:t xml:space="preserve"> </w:t>
      </w:r>
      <w:r w:rsidRPr="009F07A9">
        <w:rPr>
          <w:b w:val="0"/>
          <w:sz w:val="24"/>
        </w:rPr>
        <w:t xml:space="preserve">for training, development, and assessment of workers in the groundworks industry and are used by </w:t>
      </w:r>
      <w:r w:rsidRPr="00CD3957">
        <w:rPr>
          <w:b w:val="0"/>
          <w:bCs/>
          <w:iCs/>
          <w:color w:val="FF0000"/>
          <w:sz w:val="24"/>
        </w:rPr>
        <w:t>employers</w:t>
      </w:r>
      <w:r w:rsidRPr="00CD3957">
        <w:rPr>
          <w:i/>
          <w:color w:val="FF0000"/>
          <w:sz w:val="24"/>
        </w:rPr>
        <w:t xml:space="preserve"> </w:t>
      </w:r>
      <w:r w:rsidRPr="001847C2">
        <w:rPr>
          <w:b w:val="0"/>
          <w:sz w:val="24"/>
        </w:rPr>
        <w:t>and</w:t>
      </w:r>
      <w:r w:rsidRPr="009F07A9">
        <w:rPr>
          <w:b w:val="0"/>
          <w:sz w:val="24"/>
        </w:rPr>
        <w:t xml:space="preserve"> awarding bodies to ensure qualifications and training program</w:t>
      </w:r>
      <w:r w:rsidR="00856761">
        <w:rPr>
          <w:b w:val="0"/>
          <w:sz w:val="24"/>
        </w:rPr>
        <w:t>me</w:t>
      </w:r>
      <w:r w:rsidRPr="009F07A9">
        <w:rPr>
          <w:b w:val="0"/>
          <w:sz w:val="24"/>
        </w:rPr>
        <w:t xml:space="preserve">s meet industry </w:t>
      </w:r>
      <w:r w:rsidRPr="00CD3957">
        <w:rPr>
          <w:b w:val="0"/>
          <w:bCs/>
          <w:iCs/>
          <w:color w:val="FF0000"/>
          <w:sz w:val="24"/>
        </w:rPr>
        <w:t>standards</w:t>
      </w:r>
      <w:r w:rsidRPr="009F07A9">
        <w:rPr>
          <w:b w:val="0"/>
          <w:sz w:val="24"/>
        </w:rPr>
        <w:t>.</w:t>
      </w:r>
    </w:p>
    <w:p w14:paraId="73DA6B8E" w14:textId="77777777" w:rsidR="001847C2" w:rsidRPr="00F06AC1" w:rsidRDefault="001847C2" w:rsidP="009C5453">
      <w:pPr>
        <w:pStyle w:val="Unittitle"/>
        <w:rPr>
          <w:b w:val="0"/>
          <w:sz w:val="24"/>
        </w:rPr>
      </w:pPr>
    </w:p>
    <w:sectPr w:rsidR="001847C2" w:rsidRPr="00F06AC1" w:rsidSect="001847C2"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B6281" w14:textId="77777777" w:rsidR="001F0F67" w:rsidRDefault="001F0F67">
      <w:pPr>
        <w:spacing w:before="0" w:after="0"/>
      </w:pPr>
      <w:r>
        <w:separator/>
      </w:r>
    </w:p>
  </w:endnote>
  <w:endnote w:type="continuationSeparator" w:id="0">
    <w:p w14:paraId="15EA7734" w14:textId="77777777" w:rsidR="001F0F67" w:rsidRDefault="001F0F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3CFA614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405846">
      <w:rPr>
        <w:rFonts w:cs="Arial"/>
      </w:rPr>
      <w:t xml:space="preserve"> </w:t>
    </w:r>
    <w:bookmarkStart w:id="0" w:name="_Hlk139898195"/>
    <w:r w:rsidR="00405846" w:rsidRPr="00684ADF">
      <w:rPr>
        <w:rFonts w:cs="Arial"/>
        <w:lang w:val="en-US"/>
      </w:rPr>
      <w:t>City and Guilds of London Institute</w:t>
    </w:r>
    <w:bookmarkEnd w:id="0"/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572E0" w14:textId="77777777" w:rsidR="001F0F67" w:rsidRDefault="001F0F67">
      <w:pPr>
        <w:spacing w:before="0" w:after="0"/>
      </w:pPr>
      <w:r>
        <w:separator/>
      </w:r>
    </w:p>
  </w:footnote>
  <w:footnote w:type="continuationSeparator" w:id="0">
    <w:p w14:paraId="1B9341FC" w14:textId="77777777" w:rsidR="001F0F67" w:rsidRDefault="001F0F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2095950162" name="Picture 209595016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6DD8FD6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="00F06AC1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24B91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614DEE"/>
    <w:multiLevelType w:val="hybridMultilevel"/>
    <w:tmpl w:val="81949D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137FF"/>
    <w:multiLevelType w:val="hybridMultilevel"/>
    <w:tmpl w:val="B1C421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93356">
    <w:abstractNumId w:val="5"/>
  </w:num>
  <w:num w:numId="2" w16cid:durableId="1501844872">
    <w:abstractNumId w:val="16"/>
  </w:num>
  <w:num w:numId="3" w16cid:durableId="8798102">
    <w:abstractNumId w:val="23"/>
  </w:num>
  <w:num w:numId="4" w16cid:durableId="1593851113">
    <w:abstractNumId w:val="18"/>
  </w:num>
  <w:num w:numId="5" w16cid:durableId="209221773">
    <w:abstractNumId w:val="8"/>
  </w:num>
  <w:num w:numId="6" w16cid:durableId="721637886">
    <w:abstractNumId w:val="17"/>
  </w:num>
  <w:num w:numId="7" w16cid:durableId="1436056112">
    <w:abstractNumId w:val="8"/>
  </w:num>
  <w:num w:numId="8" w16cid:durableId="872770564">
    <w:abstractNumId w:val="2"/>
  </w:num>
  <w:num w:numId="9" w16cid:durableId="165362761">
    <w:abstractNumId w:val="8"/>
    <w:lvlOverride w:ilvl="0">
      <w:startOverride w:val="1"/>
    </w:lvlOverride>
  </w:num>
  <w:num w:numId="10" w16cid:durableId="489756481">
    <w:abstractNumId w:val="19"/>
  </w:num>
  <w:num w:numId="11" w16cid:durableId="1987510366">
    <w:abstractNumId w:val="14"/>
  </w:num>
  <w:num w:numId="12" w16cid:durableId="37364507">
    <w:abstractNumId w:val="6"/>
  </w:num>
  <w:num w:numId="13" w16cid:durableId="1738433318">
    <w:abstractNumId w:val="13"/>
  </w:num>
  <w:num w:numId="14" w16cid:durableId="1787382365">
    <w:abstractNumId w:val="20"/>
  </w:num>
  <w:num w:numId="15" w16cid:durableId="787159025">
    <w:abstractNumId w:val="11"/>
  </w:num>
  <w:num w:numId="16" w16cid:durableId="1288198884">
    <w:abstractNumId w:val="7"/>
  </w:num>
  <w:num w:numId="17" w16cid:durableId="941113008">
    <w:abstractNumId w:val="25"/>
  </w:num>
  <w:num w:numId="18" w16cid:durableId="62069967">
    <w:abstractNumId w:val="26"/>
  </w:num>
  <w:num w:numId="19" w16cid:durableId="730538227">
    <w:abstractNumId w:val="4"/>
  </w:num>
  <w:num w:numId="20" w16cid:durableId="1595825229">
    <w:abstractNumId w:val="3"/>
  </w:num>
  <w:num w:numId="21" w16cid:durableId="242107812">
    <w:abstractNumId w:val="9"/>
  </w:num>
  <w:num w:numId="22" w16cid:durableId="501359409">
    <w:abstractNumId w:val="9"/>
    <w:lvlOverride w:ilvl="0">
      <w:startOverride w:val="1"/>
    </w:lvlOverride>
  </w:num>
  <w:num w:numId="23" w16cid:durableId="197665067">
    <w:abstractNumId w:val="24"/>
  </w:num>
  <w:num w:numId="24" w16cid:durableId="645748299">
    <w:abstractNumId w:val="9"/>
    <w:lvlOverride w:ilvl="0">
      <w:startOverride w:val="1"/>
    </w:lvlOverride>
  </w:num>
  <w:num w:numId="25" w16cid:durableId="1765035896">
    <w:abstractNumId w:val="9"/>
    <w:lvlOverride w:ilvl="0">
      <w:startOverride w:val="1"/>
    </w:lvlOverride>
  </w:num>
  <w:num w:numId="26" w16cid:durableId="1303383571">
    <w:abstractNumId w:val="10"/>
  </w:num>
  <w:num w:numId="27" w16cid:durableId="2081443946">
    <w:abstractNumId w:val="21"/>
  </w:num>
  <w:num w:numId="28" w16cid:durableId="1287005523">
    <w:abstractNumId w:val="9"/>
    <w:lvlOverride w:ilvl="0">
      <w:startOverride w:val="1"/>
    </w:lvlOverride>
  </w:num>
  <w:num w:numId="29" w16cid:durableId="369651985">
    <w:abstractNumId w:val="22"/>
  </w:num>
  <w:num w:numId="30" w16cid:durableId="1164517663">
    <w:abstractNumId w:val="9"/>
  </w:num>
  <w:num w:numId="31" w16cid:durableId="225651278">
    <w:abstractNumId w:val="9"/>
    <w:lvlOverride w:ilvl="0">
      <w:startOverride w:val="1"/>
    </w:lvlOverride>
  </w:num>
  <w:num w:numId="32" w16cid:durableId="1183858156">
    <w:abstractNumId w:val="9"/>
    <w:lvlOverride w:ilvl="0">
      <w:startOverride w:val="1"/>
    </w:lvlOverride>
  </w:num>
  <w:num w:numId="33" w16cid:durableId="424616605">
    <w:abstractNumId w:val="0"/>
  </w:num>
  <w:num w:numId="34" w16cid:durableId="246038919">
    <w:abstractNumId w:val="12"/>
  </w:num>
  <w:num w:numId="35" w16cid:durableId="1945109372">
    <w:abstractNumId w:val="1"/>
  </w:num>
  <w:num w:numId="36" w16cid:durableId="12937105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77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449"/>
    <w:rsid w:val="00033652"/>
    <w:rsid w:val="000711DD"/>
    <w:rsid w:val="00082C62"/>
    <w:rsid w:val="000B231F"/>
    <w:rsid w:val="000E194B"/>
    <w:rsid w:val="000E611B"/>
    <w:rsid w:val="00110217"/>
    <w:rsid w:val="00146758"/>
    <w:rsid w:val="00152AC3"/>
    <w:rsid w:val="00156AF3"/>
    <w:rsid w:val="001847C2"/>
    <w:rsid w:val="0019491D"/>
    <w:rsid w:val="001F0F67"/>
    <w:rsid w:val="001F74AD"/>
    <w:rsid w:val="001F7919"/>
    <w:rsid w:val="00207EA9"/>
    <w:rsid w:val="002A07F4"/>
    <w:rsid w:val="002D07A8"/>
    <w:rsid w:val="002F7002"/>
    <w:rsid w:val="003265B5"/>
    <w:rsid w:val="003405EA"/>
    <w:rsid w:val="00375770"/>
    <w:rsid w:val="00404B31"/>
    <w:rsid w:val="00405846"/>
    <w:rsid w:val="00474F67"/>
    <w:rsid w:val="0048500D"/>
    <w:rsid w:val="004D312A"/>
    <w:rsid w:val="00524E1B"/>
    <w:rsid w:val="00594345"/>
    <w:rsid w:val="005B1570"/>
    <w:rsid w:val="006135C0"/>
    <w:rsid w:val="006642FD"/>
    <w:rsid w:val="00671001"/>
    <w:rsid w:val="006807B0"/>
    <w:rsid w:val="00691B95"/>
    <w:rsid w:val="006B798A"/>
    <w:rsid w:val="006D3AA3"/>
    <w:rsid w:val="006D4994"/>
    <w:rsid w:val="006E1028"/>
    <w:rsid w:val="006E19C2"/>
    <w:rsid w:val="006F7BAF"/>
    <w:rsid w:val="00783583"/>
    <w:rsid w:val="00797FA7"/>
    <w:rsid w:val="007D0371"/>
    <w:rsid w:val="007E66B0"/>
    <w:rsid w:val="00856761"/>
    <w:rsid w:val="008B42ED"/>
    <w:rsid w:val="008C1F1C"/>
    <w:rsid w:val="008D47A6"/>
    <w:rsid w:val="00924B91"/>
    <w:rsid w:val="009975A0"/>
    <w:rsid w:val="009C5453"/>
    <w:rsid w:val="009C5C6E"/>
    <w:rsid w:val="009F210A"/>
    <w:rsid w:val="00A2454C"/>
    <w:rsid w:val="00A627AC"/>
    <w:rsid w:val="00A74824"/>
    <w:rsid w:val="00AE245C"/>
    <w:rsid w:val="00AF02C6"/>
    <w:rsid w:val="00B054EC"/>
    <w:rsid w:val="00B45871"/>
    <w:rsid w:val="00B74FBA"/>
    <w:rsid w:val="00BB7C19"/>
    <w:rsid w:val="00BE2C21"/>
    <w:rsid w:val="00BF43E7"/>
    <w:rsid w:val="00BF7175"/>
    <w:rsid w:val="00C01D20"/>
    <w:rsid w:val="00C202BF"/>
    <w:rsid w:val="00C858D7"/>
    <w:rsid w:val="00CD3957"/>
    <w:rsid w:val="00D073BC"/>
    <w:rsid w:val="00D319D4"/>
    <w:rsid w:val="00D35919"/>
    <w:rsid w:val="00D44EF3"/>
    <w:rsid w:val="00D56B82"/>
    <w:rsid w:val="00DA2485"/>
    <w:rsid w:val="00DB3EF3"/>
    <w:rsid w:val="00DE29A8"/>
    <w:rsid w:val="00DE5B16"/>
    <w:rsid w:val="00E9685C"/>
    <w:rsid w:val="00F03E33"/>
    <w:rsid w:val="00F06AC1"/>
    <w:rsid w:val="00F15749"/>
    <w:rsid w:val="00F30C17"/>
    <w:rsid w:val="00F42A36"/>
    <w:rsid w:val="00F63796"/>
    <w:rsid w:val="00F70874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35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BB7C1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Alison Walters</cp:lastModifiedBy>
  <cp:revision>2</cp:revision>
  <cp:lastPrinted>2023-03-14T16:06:00Z</cp:lastPrinted>
  <dcterms:created xsi:type="dcterms:W3CDTF">2023-07-18T13:50:00Z</dcterms:created>
  <dcterms:modified xsi:type="dcterms:W3CDTF">2023-07-18T13:50:00Z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