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0AC88BC" w:rsidR="00CC1C2A" w:rsidRDefault="00376CB6" w:rsidP="00205182">
      <w:pPr>
        <w:pStyle w:val="Unittitle"/>
      </w:pPr>
      <w:r>
        <w:t>Uned 212: Gwybodaeth graidd am Waith Coed ar y Safle</w:t>
      </w:r>
    </w:p>
    <w:p w14:paraId="3719F5E0" w14:textId="5A6CEFD1" w:rsidR="009B0EE5" w:rsidRPr="00AD06EC" w:rsidRDefault="006B23A9" w:rsidP="0070001F">
      <w:pPr>
        <w:pStyle w:val="Pennawd1"/>
        <w:spacing w:after="280"/>
        <w:rPr>
          <w:sz w:val="28"/>
          <w:szCs w:val="28"/>
        </w:rPr>
        <w:sectPr w:rsidR="009B0EE5" w:rsidRPr="00AD06EC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65B877A1" w14:textId="061DB744" w:rsidR="00430113" w:rsidRDefault="00430113" w:rsidP="00430113">
      <w:pPr>
        <w:spacing w:before="0" w:line="240" w:lineRule="auto"/>
      </w:pPr>
      <w:r>
        <w:t>Mae’r uned hon yn ymdrin â’r wybodaeth gyffredinol sydd ei hangen ar gyfer y llwybr hwn. Mae cynnwys yr uned hon wedi cael ei gyflwyno mewn ffordd generig gan ei fod yn gyson drwy lawer o’r unedau sgiliau yn y cymhwyster hwn. Dylid addysgu’r cynnwys, a bydd yn cael ei asesu’n gyffredinol ac mewn perthynas â’r unedau sgiliau canlynol (lle bo hynny’n briodol):</w:t>
      </w:r>
    </w:p>
    <w:p w14:paraId="4E2348DB" w14:textId="64F25825" w:rsidR="00430113" w:rsidRDefault="00430113" w:rsidP="00060EC4">
      <w:pPr>
        <w:pStyle w:val="Normalbulletlist"/>
      </w:pPr>
      <w:r>
        <w:t xml:space="preserve">Gosod cydrannau’r </w:t>
      </w:r>
      <w:proofErr w:type="spellStart"/>
      <w:r>
        <w:t>ffics</w:t>
      </w:r>
      <w:proofErr w:type="spellEnd"/>
      <w:r>
        <w:t xml:space="preserve"> cyntaf</w:t>
      </w:r>
    </w:p>
    <w:p w14:paraId="3AAED87E" w14:textId="04F45770" w:rsidR="00430113" w:rsidRDefault="00430113" w:rsidP="00060EC4">
      <w:pPr>
        <w:pStyle w:val="Normalbulletlist"/>
      </w:pPr>
      <w:r>
        <w:t xml:space="preserve">Gosod cydrannau’r ail </w:t>
      </w:r>
      <w:proofErr w:type="spellStart"/>
      <w:r>
        <w:t>ffics</w:t>
      </w:r>
      <w:proofErr w:type="spellEnd"/>
    </w:p>
    <w:p w14:paraId="60B438EE" w14:textId="07E5452E" w:rsidR="00430113" w:rsidRDefault="00430113" w:rsidP="00060EC4">
      <w:pPr>
        <w:pStyle w:val="Normalbulletlist"/>
      </w:pPr>
      <w:r>
        <w:t>Codi cydrannau fframwaith y strwythur</w:t>
      </w:r>
    </w:p>
    <w:p w14:paraId="7CF8F685" w14:textId="4E14ECD2" w:rsidR="00430113" w:rsidRDefault="00430113" w:rsidP="00060EC4">
      <w:pPr>
        <w:pStyle w:val="Normalbulletlist"/>
      </w:pPr>
      <w:r>
        <w:t>Cynnal a chadw gwaith coed nad yw’n ymwneud â’r strwythur</w:t>
      </w:r>
    </w:p>
    <w:p w14:paraId="063869DA" w14:textId="3301322D" w:rsidR="007D6FEB" w:rsidRDefault="00430113" w:rsidP="00060EC4">
      <w:pPr>
        <w:pStyle w:val="Normalbulletlist"/>
      </w:pPr>
      <w:r>
        <w:t>Gosod a defnyddio peiriannau torri a siapio cludadwy</w:t>
      </w:r>
    </w:p>
    <w:p w14:paraId="4FEEAF01" w14:textId="77777777" w:rsidR="0070001F" w:rsidRDefault="0070001F" w:rsidP="0070001F">
      <w:pPr>
        <w:pStyle w:val="Normalbulletlist"/>
        <w:numPr>
          <w:ilvl w:val="0"/>
          <w:numId w:val="0"/>
        </w:numPr>
      </w:pPr>
    </w:p>
    <w:p w14:paraId="246421E9" w14:textId="7D5D8E8A" w:rsidR="007A6A1D" w:rsidRPr="007A6A1D" w:rsidRDefault="007A6A1D" w:rsidP="007A6A1D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Gellir cyflwyno dysgwyr i’r uned hon drwy eu cymell i ofyn cwestiynau iddyn nhw eu hunain fel:</w:t>
      </w:r>
    </w:p>
    <w:p w14:paraId="3075A0BE" w14:textId="77777777" w:rsidR="007A6A1D" w:rsidRPr="007A6A1D" w:rsidRDefault="007A6A1D" w:rsidP="00060EC4">
      <w:pPr>
        <w:pStyle w:val="Normalbulletlist"/>
      </w:pPr>
      <w:r>
        <w:t>Pam mae sesiynau cynefino â safleoedd yn bwysig?</w:t>
      </w:r>
    </w:p>
    <w:p w14:paraId="2BA45C3C" w14:textId="77777777" w:rsidR="007A6A1D" w:rsidRPr="007A6A1D" w:rsidRDefault="007A6A1D" w:rsidP="00060EC4">
      <w:pPr>
        <w:pStyle w:val="Normalbulletlist"/>
      </w:pPr>
      <w:r>
        <w:t>Beth yw'r gwahaniaeth rhwng cerdyn tasg a thaflen amser?</w:t>
      </w:r>
    </w:p>
    <w:p w14:paraId="08A400F7" w14:textId="359288D1" w:rsidR="00A945F5" w:rsidRDefault="007A6A1D" w:rsidP="00060EC4">
      <w:pPr>
        <w:pStyle w:val="Normalbulletlist"/>
      </w:pPr>
      <w:r>
        <w:t>Pwy yw Cadw, a beth maen nhw’n wneud?</w:t>
      </w:r>
    </w:p>
    <w:p w14:paraId="51977BDD" w14:textId="77777777" w:rsidR="0070001F" w:rsidRPr="00300741" w:rsidRDefault="0070001F" w:rsidP="0070001F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266B8974" w:rsidR="004D0BA5" w:rsidRPr="00260ABB" w:rsidRDefault="00A40BC3" w:rsidP="00EA40F2">
      <w:pPr>
        <w:pStyle w:val="ParagraffRhestr"/>
        <w:numPr>
          <w:ilvl w:val="0"/>
          <w:numId w:val="7"/>
        </w:numPr>
      </w:pPr>
      <w:r>
        <w:t>Deall sut mae dehongli a chynnal gwybodaeth</w:t>
      </w:r>
    </w:p>
    <w:p w14:paraId="02C4AC0B" w14:textId="7142B6B0" w:rsidR="004D0BA5" w:rsidRDefault="00A40BC3" w:rsidP="00EA40F2">
      <w:pPr>
        <w:pStyle w:val="ParagraffRhestr"/>
        <w:numPr>
          <w:ilvl w:val="0"/>
          <w:numId w:val="7"/>
        </w:numPr>
      </w:pPr>
      <w:r>
        <w:t>Deall arferion gweithio diogel</w:t>
      </w:r>
    </w:p>
    <w:p w14:paraId="064D5448" w14:textId="2776CEB6" w:rsidR="00D04E77" w:rsidRDefault="00A40BC3" w:rsidP="00EA40F2">
      <w:pPr>
        <w:pStyle w:val="ParagraffRhestr"/>
        <w:numPr>
          <w:ilvl w:val="0"/>
          <w:numId w:val="7"/>
        </w:numPr>
      </w:pPr>
      <w:r>
        <w:t>Deall sut mae lleihau’r risg o ddifrod</w:t>
      </w:r>
    </w:p>
    <w:p w14:paraId="31BE9114" w14:textId="069E07A2" w:rsidR="00DC06A5" w:rsidRDefault="00673A88" w:rsidP="00DC06A5">
      <w:pPr>
        <w:pStyle w:val="ParagraffRhestr"/>
        <w:numPr>
          <w:ilvl w:val="0"/>
          <w:numId w:val="7"/>
        </w:numPr>
      </w:pPr>
      <w:r>
        <w:t xml:space="preserve">Deall gweithio i derfynau amser 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C2EB858" w14:textId="77777777" w:rsidR="005C0227" w:rsidRPr="00D536ED" w:rsidRDefault="005C0227" w:rsidP="005C0227">
      <w:pPr>
        <w:pStyle w:val="Normalbulletsublist"/>
        <w:numPr>
          <w:ilvl w:val="0"/>
          <w:numId w:val="12"/>
        </w:numPr>
        <w:ind w:left="426" w:hanging="426"/>
        <w:rPr>
          <w:szCs w:val="22"/>
        </w:rPr>
      </w:pPr>
      <w:bookmarkStart w:id="0" w:name="_Hlk71823910"/>
      <w:r>
        <w:t xml:space="preserve">BS 8000-5:1990. </w:t>
      </w:r>
      <w:proofErr w:type="spellStart"/>
      <w:r>
        <w:rPr>
          <w:i/>
          <w:iCs/>
          <w:szCs w:val="22"/>
        </w:rPr>
        <w:t>Workmanship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on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building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sites</w:t>
      </w:r>
      <w:proofErr w:type="spellEnd"/>
      <w:r>
        <w:rPr>
          <w:i/>
          <w:iCs/>
          <w:szCs w:val="22"/>
        </w:rPr>
        <w:t xml:space="preserve">. </w:t>
      </w:r>
      <w:proofErr w:type="spellStart"/>
      <w:r>
        <w:rPr>
          <w:i/>
          <w:iCs/>
        </w:rPr>
        <w:t>Code</w:t>
      </w:r>
      <w:proofErr w:type="spellEnd"/>
      <w:r>
        <w:rPr>
          <w:i/>
          <w:iCs/>
        </w:rPr>
        <w:t xml:space="preserve"> of </w:t>
      </w:r>
      <w:proofErr w:type="spellStart"/>
      <w:r>
        <w:rPr>
          <w:i/>
          <w:iCs/>
        </w:rPr>
        <w:t>practice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carpentry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joinery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general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fixings</w:t>
      </w:r>
      <w:proofErr w:type="spellEnd"/>
      <w:r>
        <w:rPr>
          <w:i/>
          <w:iCs/>
        </w:rPr>
        <w:t>.</w:t>
      </w:r>
    </w:p>
    <w:p w14:paraId="7762C6FB" w14:textId="77777777" w:rsidR="005C0227" w:rsidRPr="00D536ED" w:rsidRDefault="005C0227" w:rsidP="005C0227">
      <w:pPr>
        <w:pStyle w:val="Normalbulletsublist"/>
        <w:numPr>
          <w:ilvl w:val="0"/>
          <w:numId w:val="12"/>
        </w:numPr>
        <w:ind w:left="426" w:hanging="426"/>
        <w:rPr>
          <w:szCs w:val="22"/>
        </w:rPr>
      </w:pPr>
      <w:r>
        <w:t xml:space="preserve">BS 8000-0:2014. </w:t>
      </w:r>
      <w:proofErr w:type="spellStart"/>
      <w:r>
        <w:rPr>
          <w:i/>
          <w:iCs/>
          <w:szCs w:val="22"/>
        </w:rPr>
        <w:t>Workmanship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on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construction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sites</w:t>
      </w:r>
      <w:proofErr w:type="spellEnd"/>
      <w:r>
        <w:rPr>
          <w:i/>
          <w:iCs/>
          <w:szCs w:val="22"/>
        </w:rPr>
        <w:t xml:space="preserve">. </w:t>
      </w:r>
      <w:proofErr w:type="spellStart"/>
      <w:r>
        <w:rPr>
          <w:i/>
          <w:iCs/>
        </w:rPr>
        <w:t>Introduction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general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principles</w:t>
      </w:r>
      <w:proofErr w:type="spellEnd"/>
      <w:r>
        <w:rPr>
          <w:i/>
          <w:iCs/>
        </w:rPr>
        <w:t>.</w:t>
      </w:r>
      <w:r>
        <w:t xml:space="preserve"> </w:t>
      </w:r>
    </w:p>
    <w:p w14:paraId="2378822C" w14:textId="77777777" w:rsidR="005C0227" w:rsidRPr="002468C5" w:rsidRDefault="005C0227" w:rsidP="005C0227">
      <w:pPr>
        <w:pStyle w:val="Normalbulletsublist"/>
        <w:numPr>
          <w:ilvl w:val="0"/>
          <w:numId w:val="13"/>
        </w:numPr>
        <w:ind w:left="426" w:hanging="426"/>
        <w:rPr>
          <w:bCs w:val="0"/>
          <w:szCs w:val="22"/>
        </w:rPr>
      </w:pPr>
      <w:r>
        <w:t xml:space="preserve">BS EN 13647:2021. </w:t>
      </w:r>
      <w:r>
        <w:rPr>
          <w:bCs w:val="0"/>
          <w:i/>
          <w:iCs/>
          <w:szCs w:val="22"/>
        </w:rPr>
        <w:t xml:space="preserve">Wood </w:t>
      </w:r>
      <w:proofErr w:type="spellStart"/>
      <w:r>
        <w:rPr>
          <w:bCs w:val="0"/>
          <w:i/>
          <w:iCs/>
          <w:szCs w:val="22"/>
        </w:rPr>
        <w:t>flooring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and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wood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panelling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and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cladding</w:t>
      </w:r>
      <w:proofErr w:type="spellEnd"/>
      <w:r>
        <w:rPr>
          <w:bCs w:val="0"/>
          <w:i/>
          <w:iCs/>
          <w:szCs w:val="22"/>
        </w:rPr>
        <w:t xml:space="preserve">. </w:t>
      </w:r>
      <w:proofErr w:type="spellStart"/>
      <w:r>
        <w:rPr>
          <w:i/>
          <w:iCs/>
        </w:rPr>
        <w:t>Determination</w:t>
      </w:r>
      <w:proofErr w:type="spellEnd"/>
      <w:r>
        <w:rPr>
          <w:i/>
          <w:iCs/>
        </w:rPr>
        <w:t xml:space="preserve"> of </w:t>
      </w:r>
      <w:proofErr w:type="spellStart"/>
      <w:r>
        <w:rPr>
          <w:i/>
          <w:iCs/>
        </w:rPr>
        <w:t>geometrical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characteristics</w:t>
      </w:r>
      <w:proofErr w:type="spellEnd"/>
      <w:r>
        <w:rPr>
          <w:i/>
          <w:iCs/>
        </w:rPr>
        <w:t>.</w:t>
      </w:r>
    </w:p>
    <w:p w14:paraId="6126968B" w14:textId="77777777" w:rsidR="005C0227" w:rsidRPr="00D536ED" w:rsidRDefault="005C0227" w:rsidP="005C0227">
      <w:pPr>
        <w:pStyle w:val="Normalbulletsublist"/>
        <w:numPr>
          <w:ilvl w:val="0"/>
          <w:numId w:val="13"/>
        </w:numPr>
        <w:ind w:left="426" w:hanging="426"/>
        <w:rPr>
          <w:szCs w:val="22"/>
        </w:rPr>
      </w:pPr>
      <w:r>
        <w:t xml:space="preserve">ISO 19049:2016. </w:t>
      </w:r>
      <w:proofErr w:type="spellStart"/>
      <w:r>
        <w:rPr>
          <w:i/>
          <w:iCs/>
          <w:szCs w:val="22"/>
        </w:rPr>
        <w:t>Timber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structures</w:t>
      </w:r>
      <w:proofErr w:type="spellEnd"/>
      <w:r>
        <w:rPr>
          <w:i/>
          <w:iCs/>
          <w:szCs w:val="22"/>
        </w:rPr>
        <w:t xml:space="preserve">. </w:t>
      </w:r>
      <w:proofErr w:type="spellStart"/>
      <w:r>
        <w:rPr>
          <w:i/>
          <w:iCs/>
          <w:szCs w:val="22"/>
        </w:rPr>
        <w:t>Test</w:t>
      </w:r>
      <w:proofErr w:type="spellEnd"/>
      <w:r>
        <w:rPr>
          <w:i/>
          <w:iCs/>
          <w:szCs w:val="22"/>
        </w:rPr>
        <w:t xml:space="preserve"> </w:t>
      </w:r>
      <w:proofErr w:type="spellStart"/>
      <w:r>
        <w:rPr>
          <w:i/>
          <w:iCs/>
          <w:szCs w:val="22"/>
        </w:rPr>
        <w:t>method</w:t>
      </w:r>
      <w:proofErr w:type="spellEnd"/>
      <w:r>
        <w:rPr>
          <w:i/>
          <w:iCs/>
          <w:szCs w:val="22"/>
        </w:rPr>
        <w:t xml:space="preserve">. </w:t>
      </w:r>
      <w:proofErr w:type="spellStart"/>
      <w:r>
        <w:rPr>
          <w:i/>
          <w:iCs/>
        </w:rPr>
        <w:t>Static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load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tests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horizontal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diaphragms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including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floors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roofs</w:t>
      </w:r>
      <w:proofErr w:type="spellEnd"/>
      <w:r>
        <w:t>.</w:t>
      </w:r>
    </w:p>
    <w:p w14:paraId="1A0B532F" w14:textId="172FCBF5" w:rsidR="005C0227" w:rsidRPr="00D536ED" w:rsidRDefault="005C0227" w:rsidP="00BC54FB">
      <w:pPr>
        <w:pStyle w:val="Normalbulletsublist"/>
        <w:numPr>
          <w:ilvl w:val="0"/>
          <w:numId w:val="13"/>
        </w:numPr>
        <w:ind w:left="426" w:hanging="426"/>
        <w:rPr>
          <w:szCs w:val="22"/>
        </w:rPr>
      </w:pPr>
      <w:r>
        <w:t xml:space="preserve">BS 8233:2014. </w:t>
      </w:r>
      <w:proofErr w:type="spellStart"/>
      <w:r>
        <w:rPr>
          <w:bCs w:val="0"/>
          <w:i/>
          <w:iCs/>
          <w:szCs w:val="22"/>
        </w:rPr>
        <w:t>Guidance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on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sound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insulation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and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noise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reduction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for</w:t>
      </w:r>
      <w:proofErr w:type="spellEnd"/>
      <w:r>
        <w:rPr>
          <w:bCs w:val="0"/>
          <w:i/>
          <w:iCs/>
          <w:szCs w:val="22"/>
        </w:rPr>
        <w:t xml:space="preserve"> </w:t>
      </w:r>
      <w:proofErr w:type="spellStart"/>
      <w:r>
        <w:rPr>
          <w:bCs w:val="0"/>
          <w:i/>
          <w:iCs/>
          <w:szCs w:val="22"/>
        </w:rPr>
        <w:t>buildings</w:t>
      </w:r>
      <w:proofErr w:type="spellEnd"/>
      <w:r>
        <w:rPr>
          <w:bCs w:val="0"/>
          <w:i/>
          <w:iCs/>
          <w:szCs w:val="22"/>
        </w:rPr>
        <w:t>.</w:t>
      </w:r>
    </w:p>
    <w:p w14:paraId="029919D1" w14:textId="300A6682" w:rsidR="00BC54FB" w:rsidRDefault="00BC54FB" w:rsidP="00BC54FB">
      <w:pPr>
        <w:pStyle w:val="Normalheadingblack"/>
      </w:pPr>
      <w:r>
        <w:t>Gwefannau</w:t>
      </w:r>
    </w:p>
    <w:p w14:paraId="31EDFD01" w14:textId="77777777" w:rsidR="008655C0" w:rsidRPr="00A27AE7" w:rsidRDefault="00AE2FCF" w:rsidP="008655C0">
      <w:pPr>
        <w:pStyle w:val="Normalbulletlist"/>
        <w:numPr>
          <w:ilvl w:val="0"/>
          <w:numId w:val="11"/>
        </w:numPr>
        <w:ind w:left="426" w:hanging="426"/>
        <w:rPr>
          <w:rStyle w:val="Hyperddolen"/>
          <w:color w:val="auto"/>
          <w:u w:val="none"/>
        </w:rPr>
      </w:pPr>
      <w:hyperlink r:id="rId13" w:history="1">
        <w:r w:rsidR="0070001F">
          <w:rPr>
            <w:rStyle w:val="Hyperddolen"/>
          </w:rPr>
          <w:t>Cadw (</w:t>
        </w:r>
        <w:proofErr w:type="spellStart"/>
        <w:r w:rsidR="0070001F">
          <w:rPr>
            <w:rStyle w:val="Hyperddolen"/>
          </w:rPr>
          <w:t>gov.wales</w:t>
        </w:r>
        <w:proofErr w:type="spellEnd"/>
        <w:r w:rsidR="0070001F">
          <w:rPr>
            <w:rStyle w:val="Hyperddolen"/>
          </w:rPr>
          <w:t xml:space="preserve">) | </w:t>
        </w:r>
        <w:proofErr w:type="spellStart"/>
        <w:r w:rsidR="0070001F">
          <w:rPr>
            <w:rStyle w:val="Hyperddolen"/>
          </w:rPr>
          <w:t>Homepage</w:t>
        </w:r>
        <w:proofErr w:type="spellEnd"/>
        <w:r w:rsidR="0070001F">
          <w:rPr>
            <w:rStyle w:val="Hyperddolen"/>
          </w:rPr>
          <w:t xml:space="preserve"> </w:t>
        </w:r>
      </w:hyperlink>
    </w:p>
    <w:p w14:paraId="77DBC038" w14:textId="34E6EA39" w:rsidR="00B42B73" w:rsidRDefault="00AE2FCF" w:rsidP="00B42B73">
      <w:pPr>
        <w:pStyle w:val="Normalbulletsublist"/>
        <w:numPr>
          <w:ilvl w:val="0"/>
          <w:numId w:val="11"/>
        </w:numPr>
        <w:ind w:left="426" w:hanging="426"/>
        <w:rPr>
          <w:rStyle w:val="Hyperddolen"/>
          <w:color w:val="auto"/>
          <w:u w:val="none"/>
        </w:rPr>
      </w:pPr>
      <w:hyperlink r:id="rId14" w:history="1">
        <w:r w:rsidR="0070001F">
          <w:rPr>
            <w:rStyle w:val="Hyperddolen"/>
          </w:rPr>
          <w:t xml:space="preserve">NHTG | </w:t>
        </w:r>
        <w:proofErr w:type="spellStart"/>
        <w:r w:rsidR="0070001F">
          <w:rPr>
            <w:rStyle w:val="Hyperddolen"/>
          </w:rPr>
          <w:t>Homepage</w:t>
        </w:r>
        <w:proofErr w:type="spellEnd"/>
      </w:hyperlink>
    </w:p>
    <w:p w14:paraId="0E070E4D" w14:textId="0813BA39" w:rsidR="00967057" w:rsidRPr="00B42B73" w:rsidRDefault="00AE2FCF" w:rsidP="005A7A96">
      <w:pPr>
        <w:pStyle w:val="Normalbulletsublist"/>
        <w:numPr>
          <w:ilvl w:val="0"/>
          <w:numId w:val="11"/>
        </w:numPr>
        <w:ind w:left="426" w:hanging="426"/>
      </w:pPr>
      <w:hyperlink r:id="rId15" w:history="1">
        <w:r w:rsidR="0070001F">
          <w:rPr>
            <w:rStyle w:val="Hyperddolen"/>
          </w:rPr>
          <w:t xml:space="preserve">TRADA | </w:t>
        </w:r>
        <w:proofErr w:type="spellStart"/>
        <w:r w:rsidR="0070001F">
          <w:rPr>
            <w:rStyle w:val="Hyperddolen"/>
          </w:rPr>
          <w:t>Timber</w:t>
        </w:r>
        <w:proofErr w:type="spellEnd"/>
        <w:r w:rsidR="0070001F">
          <w:rPr>
            <w:rStyle w:val="Hyperddolen"/>
          </w:rPr>
          <w:t xml:space="preserve"> Research </w:t>
        </w:r>
        <w:proofErr w:type="spellStart"/>
        <w:r w:rsidR="0070001F">
          <w:rPr>
            <w:rStyle w:val="Hyperddolen"/>
          </w:rPr>
          <w:t>and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Development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Association</w:t>
        </w:r>
        <w:proofErr w:type="spellEnd"/>
      </w:hyperlink>
    </w:p>
    <w:p w14:paraId="347C8018" w14:textId="02E1041C" w:rsidR="00722FDA" w:rsidRPr="00722FDA" w:rsidRDefault="00AE2FCF" w:rsidP="00D30D94">
      <w:pPr>
        <w:pStyle w:val="Normalbulletsublist"/>
        <w:numPr>
          <w:ilvl w:val="0"/>
          <w:numId w:val="15"/>
        </w:numPr>
        <w:ind w:left="426" w:hanging="426"/>
        <w:rPr>
          <w:rStyle w:val="Hyperddolen"/>
          <w:color w:val="auto"/>
          <w:u w:val="none"/>
        </w:rPr>
      </w:pPr>
      <w:hyperlink r:id="rId16" w:history="1">
        <w:r w:rsidR="0070001F">
          <w:rPr>
            <w:rStyle w:val="Hyperddolen"/>
          </w:rPr>
          <w:t xml:space="preserve">NHBC </w:t>
        </w:r>
        <w:proofErr w:type="spellStart"/>
        <w:r w:rsidR="0070001F">
          <w:rPr>
            <w:rStyle w:val="Hyperddolen"/>
          </w:rPr>
          <w:t>Standards</w:t>
        </w:r>
        <w:proofErr w:type="spellEnd"/>
        <w:r w:rsidR="0070001F">
          <w:rPr>
            <w:rStyle w:val="Hyperddolen"/>
          </w:rPr>
          <w:t xml:space="preserve"> 2021 | </w:t>
        </w:r>
        <w:proofErr w:type="spellStart"/>
        <w:r w:rsidR="0070001F">
          <w:rPr>
            <w:rStyle w:val="Hyperddolen"/>
          </w:rPr>
          <w:t>House</w:t>
        </w:r>
        <w:proofErr w:type="spellEnd"/>
        <w:r w:rsidR="0070001F">
          <w:rPr>
            <w:rStyle w:val="Hyperddolen"/>
          </w:rPr>
          <w:t xml:space="preserve">-Building </w:t>
        </w:r>
        <w:proofErr w:type="spellStart"/>
        <w:r w:rsidR="0070001F">
          <w:rPr>
            <w:rStyle w:val="Hyperddolen"/>
          </w:rPr>
          <w:t>Standards</w:t>
        </w:r>
        <w:proofErr w:type="spellEnd"/>
      </w:hyperlink>
    </w:p>
    <w:p w14:paraId="43F2F456" w14:textId="5BC876A5" w:rsidR="008A00F9" w:rsidRPr="00D30D94" w:rsidRDefault="00AE2FCF" w:rsidP="00D30D94">
      <w:pPr>
        <w:pStyle w:val="Normalbulletsublist"/>
        <w:numPr>
          <w:ilvl w:val="0"/>
          <w:numId w:val="15"/>
        </w:numPr>
        <w:ind w:left="426" w:hanging="426"/>
      </w:pPr>
      <w:hyperlink r:id="rId17" w:history="1">
        <w:r w:rsidR="0070001F">
          <w:rPr>
            <w:rStyle w:val="Hyperddolen"/>
          </w:rPr>
          <w:t xml:space="preserve">BWF | </w:t>
        </w:r>
        <w:proofErr w:type="spellStart"/>
        <w:r w:rsidR="0070001F">
          <w:rPr>
            <w:rStyle w:val="Hyperddolen"/>
          </w:rPr>
          <w:t>Homepage</w:t>
        </w:r>
        <w:proofErr w:type="spellEnd"/>
        <w:r w:rsidR="0070001F">
          <w:rPr>
            <w:rStyle w:val="Hyperddolen"/>
          </w:rPr>
          <w:t xml:space="preserve"> </w:t>
        </w:r>
      </w:hyperlink>
    </w:p>
    <w:p w14:paraId="05DD0E74" w14:textId="6F8775A2" w:rsidR="005C0227" w:rsidRPr="005C0227" w:rsidRDefault="005C0227" w:rsidP="005C0227">
      <w:pPr>
        <w:pStyle w:val="Normalheadingblack"/>
      </w:pPr>
      <w:r>
        <w:t>Deddfwriaeth</w:t>
      </w:r>
    </w:p>
    <w:p w14:paraId="4274C68B" w14:textId="77777777" w:rsidR="00300741" w:rsidRDefault="00300741" w:rsidP="00300741">
      <w:pPr>
        <w:pStyle w:val="Normalbulletsublist"/>
        <w:numPr>
          <w:ilvl w:val="0"/>
          <w:numId w:val="14"/>
        </w:numPr>
        <w:ind w:left="426" w:hanging="426"/>
      </w:pPr>
      <w:proofErr w:type="spellStart"/>
      <w:r>
        <w:t>Approved</w:t>
      </w:r>
      <w:proofErr w:type="spellEnd"/>
      <w:r>
        <w:t xml:space="preserve"> Codes of </w:t>
      </w:r>
      <w:proofErr w:type="spellStart"/>
      <w:r>
        <w:t>Practice</w:t>
      </w:r>
      <w:proofErr w:type="spellEnd"/>
      <w:r>
        <w:t xml:space="preserve"> (</w:t>
      </w:r>
      <w:proofErr w:type="spellStart"/>
      <w:r>
        <w:t>ACOPs</w:t>
      </w:r>
      <w:proofErr w:type="spellEnd"/>
      <w:r>
        <w:t>)</w:t>
      </w:r>
    </w:p>
    <w:p w14:paraId="2951CA65" w14:textId="4D59D0BF" w:rsidR="0034048D" w:rsidRDefault="00AE2FCF" w:rsidP="0034048D">
      <w:pPr>
        <w:pStyle w:val="Normalbulletsublist"/>
        <w:numPr>
          <w:ilvl w:val="0"/>
          <w:numId w:val="14"/>
        </w:numPr>
        <w:ind w:left="426" w:hanging="426"/>
        <w:rPr>
          <w:bCs w:val="0"/>
          <w:color w:val="333333"/>
          <w:szCs w:val="22"/>
        </w:rPr>
      </w:pPr>
      <w:hyperlink r:id="rId18" w:history="1">
        <w:r w:rsidR="0070001F">
          <w:rPr>
            <w:rStyle w:val="Hyperddolen"/>
          </w:rPr>
          <w:t xml:space="preserve">GOV.UK (www.gov.uk) | </w:t>
        </w:r>
        <w:proofErr w:type="spellStart"/>
        <w:r w:rsidR="0070001F">
          <w:rPr>
            <w:rStyle w:val="Hyperddolen"/>
          </w:rPr>
          <w:t>Structure</w:t>
        </w:r>
        <w:proofErr w:type="spellEnd"/>
        <w:r w:rsidR="0070001F">
          <w:rPr>
            <w:rStyle w:val="Hyperddolen"/>
          </w:rPr>
          <w:t>:</w:t>
        </w:r>
      </w:hyperlink>
      <w:hyperlink r:id="rId19" w:history="1"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Approved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Document</w:t>
        </w:r>
        <w:proofErr w:type="spellEnd"/>
        <w:r w:rsidR="0070001F">
          <w:rPr>
            <w:rStyle w:val="Hyperddolen"/>
          </w:rPr>
          <w:t xml:space="preserve"> A </w:t>
        </w:r>
      </w:hyperlink>
    </w:p>
    <w:p w14:paraId="4FC74124" w14:textId="77777777" w:rsidR="00F6075A" w:rsidRPr="00F6075A" w:rsidRDefault="00AE2FCF" w:rsidP="00901C02">
      <w:pPr>
        <w:pStyle w:val="Normalbulletsublist"/>
        <w:numPr>
          <w:ilvl w:val="0"/>
          <w:numId w:val="14"/>
        </w:numPr>
        <w:ind w:left="426" w:hanging="426"/>
        <w:rPr>
          <w:bCs w:val="0"/>
          <w:color w:val="333333"/>
          <w:szCs w:val="22"/>
        </w:rPr>
      </w:pPr>
      <w:hyperlink r:id="rId20" w:history="1">
        <w:r w:rsidR="0070001F">
          <w:rPr>
            <w:rStyle w:val="Hyperddolen"/>
          </w:rPr>
          <w:t xml:space="preserve">GOV.UK (www.gov.uk) | Fire </w:t>
        </w:r>
        <w:proofErr w:type="spellStart"/>
        <w:r w:rsidR="0070001F">
          <w:rPr>
            <w:rStyle w:val="Hyperddolen"/>
          </w:rPr>
          <w:t>safety</w:t>
        </w:r>
        <w:proofErr w:type="spellEnd"/>
        <w:r w:rsidR="0070001F">
          <w:rPr>
            <w:rStyle w:val="Hyperddolen"/>
          </w:rPr>
          <w:t>:</w:t>
        </w:r>
      </w:hyperlink>
      <w:hyperlink r:id="rId21" w:history="1"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Approved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Document</w:t>
        </w:r>
        <w:proofErr w:type="spellEnd"/>
        <w:r w:rsidR="0070001F">
          <w:rPr>
            <w:rStyle w:val="Hyperddolen"/>
          </w:rPr>
          <w:t xml:space="preserve"> B</w:t>
        </w:r>
      </w:hyperlink>
    </w:p>
    <w:p w14:paraId="2C07F783" w14:textId="142C4F1C" w:rsidR="00901C02" w:rsidRPr="00901C02" w:rsidRDefault="00AE2FCF" w:rsidP="00300741">
      <w:pPr>
        <w:pStyle w:val="Normalbulletsublist"/>
        <w:numPr>
          <w:ilvl w:val="0"/>
          <w:numId w:val="14"/>
        </w:numPr>
        <w:ind w:left="426" w:hanging="426"/>
        <w:rPr>
          <w:bCs w:val="0"/>
          <w:color w:val="333333"/>
          <w:szCs w:val="22"/>
        </w:rPr>
      </w:pPr>
      <w:hyperlink w:history="1">
        <w:r w:rsidR="0070001F">
          <w:rPr>
            <w:rStyle w:val="Hyperddolen"/>
          </w:rPr>
          <w:t xml:space="preserve">GOV.UK (www.gov.uk) | </w:t>
        </w:r>
        <w:proofErr w:type="spellStart"/>
        <w:r w:rsidR="0070001F">
          <w:rPr>
            <w:rStyle w:val="Hyperddolen"/>
          </w:rPr>
          <w:t>Protection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from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falling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collision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and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impact</w:t>
        </w:r>
        <w:proofErr w:type="spellEnd"/>
        <w:r w:rsidR="0070001F">
          <w:rPr>
            <w:rStyle w:val="Hyperddolen"/>
          </w:rPr>
          <w:t>:</w:t>
        </w:r>
      </w:hyperlink>
      <w:hyperlink w:history="1"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Approved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Document</w:t>
        </w:r>
        <w:proofErr w:type="spellEnd"/>
        <w:r w:rsidR="0070001F">
          <w:rPr>
            <w:rStyle w:val="Hyperddolen"/>
          </w:rPr>
          <w:t xml:space="preserve"> K</w:t>
        </w:r>
      </w:hyperlink>
    </w:p>
    <w:p w14:paraId="3F1BEAA0" w14:textId="4B713BFB" w:rsidR="001621BB" w:rsidRPr="0070001F" w:rsidRDefault="00AE2FCF" w:rsidP="00782F85">
      <w:pPr>
        <w:pStyle w:val="Normalbulletsublist"/>
        <w:numPr>
          <w:ilvl w:val="0"/>
          <w:numId w:val="14"/>
        </w:numPr>
        <w:ind w:left="426" w:hanging="426"/>
        <w:rPr>
          <w:rStyle w:val="Hyperddolen"/>
          <w:bCs w:val="0"/>
          <w:color w:val="333333"/>
          <w:szCs w:val="22"/>
          <w:u w:val="none"/>
        </w:rPr>
      </w:pPr>
      <w:hyperlink r:id="rId22" w:history="1">
        <w:r w:rsidR="0070001F">
          <w:rPr>
            <w:rStyle w:val="Hyperddolen"/>
          </w:rPr>
          <w:t xml:space="preserve">GOV.UK (www.gov.uk) | </w:t>
        </w:r>
        <w:proofErr w:type="spellStart"/>
        <w:r w:rsidR="0070001F">
          <w:rPr>
            <w:rStyle w:val="Hyperddolen"/>
          </w:rPr>
          <w:t>Conservation</w:t>
        </w:r>
        <w:proofErr w:type="spellEnd"/>
        <w:r w:rsidR="0070001F">
          <w:rPr>
            <w:rStyle w:val="Hyperddolen"/>
          </w:rPr>
          <w:t xml:space="preserve"> of </w:t>
        </w:r>
        <w:proofErr w:type="spellStart"/>
        <w:r w:rsidR="0070001F">
          <w:rPr>
            <w:rStyle w:val="Hyperddolen"/>
          </w:rPr>
          <w:t>fuel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and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power</w:t>
        </w:r>
        <w:proofErr w:type="spellEnd"/>
        <w:r w:rsidR="0070001F">
          <w:rPr>
            <w:rStyle w:val="Hyperddolen"/>
          </w:rPr>
          <w:t>:</w:t>
        </w:r>
      </w:hyperlink>
      <w:hyperlink r:id="rId23" w:history="1"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Approved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Document</w:t>
        </w:r>
        <w:proofErr w:type="spellEnd"/>
        <w:r w:rsidR="0070001F">
          <w:rPr>
            <w:rStyle w:val="Hyperddolen"/>
          </w:rPr>
          <w:t xml:space="preserve"> L</w:t>
        </w:r>
      </w:hyperlink>
    </w:p>
    <w:p w14:paraId="2449302C" w14:textId="7815B933" w:rsidR="0070001F" w:rsidRPr="001C0CA5" w:rsidRDefault="0070001F" w:rsidP="0070001F">
      <w:pPr>
        <w:pStyle w:val="Style1"/>
        <w:spacing w:before="0" w:line="240" w:lineRule="auto"/>
      </w:pPr>
      <w:r>
        <w:lastRenderedPageBreak/>
        <w:t>Adnoddau a awgrymir (parhad)</w:t>
      </w:r>
    </w:p>
    <w:p w14:paraId="5922B4FC" w14:textId="5EBA68B1" w:rsidR="0070001F" w:rsidRPr="005C0227" w:rsidRDefault="0070001F" w:rsidP="0070001F">
      <w:pPr>
        <w:pStyle w:val="Normalheadingblack"/>
      </w:pPr>
      <w:r>
        <w:t>Deddfwriaeth (parhad)</w:t>
      </w:r>
    </w:p>
    <w:p w14:paraId="67654335" w14:textId="78E3EC81" w:rsidR="001621BB" w:rsidRPr="001621BB" w:rsidRDefault="00AE2FCF" w:rsidP="001621BB">
      <w:pPr>
        <w:pStyle w:val="Normalbulletsublist"/>
        <w:numPr>
          <w:ilvl w:val="0"/>
          <w:numId w:val="14"/>
        </w:numPr>
        <w:ind w:left="284" w:hanging="284"/>
        <w:rPr>
          <w:bCs w:val="0"/>
          <w:color w:val="333333"/>
          <w:szCs w:val="22"/>
        </w:rPr>
      </w:pPr>
      <w:hyperlink r:id="rId24" w:history="1">
        <w:r w:rsidR="0070001F">
          <w:rPr>
            <w:rStyle w:val="Hyperddolen"/>
          </w:rPr>
          <w:t xml:space="preserve">GOV.UK (www.gov.uk) | Access to </w:t>
        </w:r>
        <w:proofErr w:type="spellStart"/>
        <w:r w:rsidR="0070001F">
          <w:rPr>
            <w:rStyle w:val="Hyperddolen"/>
          </w:rPr>
          <w:t>and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use</w:t>
        </w:r>
        <w:proofErr w:type="spellEnd"/>
        <w:r w:rsidR="0070001F">
          <w:rPr>
            <w:rStyle w:val="Hyperddolen"/>
          </w:rPr>
          <w:t xml:space="preserve"> of </w:t>
        </w:r>
        <w:proofErr w:type="spellStart"/>
        <w:r w:rsidR="0070001F">
          <w:rPr>
            <w:rStyle w:val="Hyperddolen"/>
          </w:rPr>
          <w:t>buildings</w:t>
        </w:r>
        <w:proofErr w:type="spellEnd"/>
        <w:r w:rsidR="0070001F">
          <w:rPr>
            <w:rStyle w:val="Hyperddolen"/>
          </w:rPr>
          <w:t>:</w:t>
        </w:r>
      </w:hyperlink>
      <w:hyperlink r:id="rId25" w:history="1"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Approved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Document</w:t>
        </w:r>
        <w:proofErr w:type="spellEnd"/>
        <w:r w:rsidR="0070001F">
          <w:rPr>
            <w:rStyle w:val="Hyperddolen"/>
          </w:rPr>
          <w:t xml:space="preserve"> M</w:t>
        </w:r>
      </w:hyperlink>
    </w:p>
    <w:p w14:paraId="48407841" w14:textId="772B18ED" w:rsidR="005F06D9" w:rsidRPr="004E69B5" w:rsidRDefault="00AE2FCF" w:rsidP="004E69B5">
      <w:pPr>
        <w:pStyle w:val="Normalbulletsublist"/>
        <w:numPr>
          <w:ilvl w:val="0"/>
          <w:numId w:val="14"/>
        </w:numPr>
        <w:ind w:left="284" w:hanging="284"/>
        <w:rPr>
          <w:bCs w:val="0"/>
          <w:color w:val="333333"/>
          <w:szCs w:val="22"/>
        </w:rPr>
      </w:pPr>
      <w:hyperlink r:id="rId26" w:history="1">
        <w:r w:rsidR="0070001F">
          <w:rPr>
            <w:rStyle w:val="Hyperddolen"/>
          </w:rPr>
          <w:t xml:space="preserve">GOV.UK (www.gov.uk) | </w:t>
        </w:r>
        <w:proofErr w:type="spellStart"/>
        <w:r w:rsidR="0070001F">
          <w:rPr>
            <w:rStyle w:val="Hyperddolen"/>
          </w:rPr>
          <w:t>Material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and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workmanship</w:t>
        </w:r>
        <w:proofErr w:type="spellEnd"/>
        <w:r w:rsidR="0070001F">
          <w:rPr>
            <w:rStyle w:val="Hyperddolen"/>
          </w:rPr>
          <w:t>:</w:t>
        </w:r>
      </w:hyperlink>
      <w:hyperlink r:id="rId27" w:history="1"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Approved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Document</w:t>
        </w:r>
        <w:proofErr w:type="spellEnd"/>
        <w:r w:rsidR="0070001F">
          <w:rPr>
            <w:rStyle w:val="Hyperddolen"/>
          </w:rPr>
          <w:t xml:space="preserve"> 7</w:t>
        </w:r>
      </w:hyperlink>
    </w:p>
    <w:p w14:paraId="620F901B" w14:textId="21DA1E2E" w:rsidR="00E072E4" w:rsidRPr="00E072E4" w:rsidRDefault="00AE2FCF" w:rsidP="00E072E4">
      <w:pPr>
        <w:pStyle w:val="Normalbulletlist"/>
        <w:rPr>
          <w:rStyle w:val="Hyperddolen"/>
        </w:rPr>
      </w:pPr>
      <w:hyperlink w:history="1">
        <w:r w:rsidR="00E072E4">
          <w:rPr>
            <w:rStyle w:val="Hyperddolen"/>
          </w:rPr>
          <w:t xml:space="preserve">GOV.UK (www.gov.uk) | The </w:t>
        </w:r>
        <w:proofErr w:type="spellStart"/>
        <w:r w:rsidR="00E072E4">
          <w:rPr>
            <w:rStyle w:val="Hyperddolen"/>
          </w:rPr>
          <w:t>Personal</w:t>
        </w:r>
        <w:proofErr w:type="spellEnd"/>
        <w:r w:rsidR="00E072E4">
          <w:rPr>
            <w:rStyle w:val="Hyperddolen"/>
          </w:rPr>
          <w:t xml:space="preserve"> </w:t>
        </w:r>
        <w:proofErr w:type="spellStart"/>
        <w:r w:rsidR="00E072E4">
          <w:rPr>
            <w:rStyle w:val="Hyperddolen"/>
          </w:rPr>
          <w:t>Protective</w:t>
        </w:r>
        <w:proofErr w:type="spellEnd"/>
        <w:r w:rsidR="00E072E4">
          <w:rPr>
            <w:rStyle w:val="Hyperddolen"/>
          </w:rPr>
          <w:t xml:space="preserve"> Equipment at </w:t>
        </w:r>
        <w:proofErr w:type="spellStart"/>
        <w:r w:rsidR="00E072E4">
          <w:rPr>
            <w:rStyle w:val="Hyperddolen"/>
          </w:rPr>
          <w:t>Work</w:t>
        </w:r>
        <w:proofErr w:type="spellEnd"/>
        <w:r w:rsidR="00E072E4">
          <w:rPr>
            <w:rStyle w:val="Hyperddolen"/>
          </w:rPr>
          <w:t xml:space="preserve"> </w:t>
        </w:r>
        <w:proofErr w:type="spellStart"/>
        <w:r w:rsidR="00E072E4">
          <w:rPr>
            <w:rStyle w:val="Hyperddolen"/>
          </w:rPr>
          <w:t>Regulations</w:t>
        </w:r>
        <w:proofErr w:type="spellEnd"/>
        <w:r w:rsidR="00E072E4">
          <w:rPr>
            <w:rStyle w:val="Hyperddolen"/>
          </w:rPr>
          <w:t xml:space="preserve"> 1992 </w:t>
        </w:r>
      </w:hyperlink>
    </w:p>
    <w:p w14:paraId="612D4C2D" w14:textId="55068D26" w:rsidR="00E072E4" w:rsidRPr="00E072E4" w:rsidRDefault="00AE2FCF" w:rsidP="00E072E4">
      <w:pPr>
        <w:pStyle w:val="Normalbulletlist"/>
        <w:rPr>
          <w:rStyle w:val="Hyperddolen"/>
        </w:rPr>
      </w:pPr>
      <w:hyperlink r:id="rId28" w:history="1">
        <w:r w:rsidR="0070001F">
          <w:rPr>
            <w:rStyle w:val="Hyperddolen"/>
          </w:rPr>
          <w:t xml:space="preserve">GOV.UK (www.gov.uk) | The </w:t>
        </w:r>
        <w:proofErr w:type="spellStart"/>
        <w:r w:rsidR="0070001F">
          <w:rPr>
            <w:rStyle w:val="Hyperddolen"/>
          </w:rPr>
          <w:t>Manual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Handling</w:t>
        </w:r>
        <w:proofErr w:type="spellEnd"/>
        <w:r w:rsidR="0070001F">
          <w:rPr>
            <w:rStyle w:val="Hyperddolen"/>
          </w:rPr>
          <w:t xml:space="preserve"> Operations </w:t>
        </w:r>
        <w:proofErr w:type="spellStart"/>
        <w:r w:rsidR="0070001F">
          <w:rPr>
            <w:rStyle w:val="Hyperddolen"/>
          </w:rPr>
          <w:t>Regulations</w:t>
        </w:r>
        <w:proofErr w:type="spellEnd"/>
        <w:r w:rsidR="0070001F">
          <w:rPr>
            <w:rStyle w:val="Hyperddolen"/>
          </w:rPr>
          <w:t xml:space="preserve"> 1992 </w:t>
        </w:r>
      </w:hyperlink>
    </w:p>
    <w:p w14:paraId="21D05169" w14:textId="77777777" w:rsidR="00E072E4" w:rsidRPr="00E072E4" w:rsidRDefault="00AE2FCF" w:rsidP="00E072E4">
      <w:pPr>
        <w:pStyle w:val="Normalbulletlist"/>
        <w:rPr>
          <w:rStyle w:val="Hyperddolen"/>
        </w:rPr>
      </w:pPr>
      <w:hyperlink r:id="rId29" w:history="1">
        <w:r w:rsidR="0070001F">
          <w:rPr>
            <w:rStyle w:val="Hyperddolen"/>
          </w:rPr>
          <w:t xml:space="preserve">GOV.UK (www.gov.uk) | The Control of </w:t>
        </w:r>
        <w:proofErr w:type="spellStart"/>
        <w:r w:rsidR="0070001F">
          <w:rPr>
            <w:rStyle w:val="Hyperddolen"/>
          </w:rPr>
          <w:t>Noise</w:t>
        </w:r>
        <w:proofErr w:type="spellEnd"/>
        <w:r w:rsidR="0070001F">
          <w:rPr>
            <w:rStyle w:val="Hyperddolen"/>
          </w:rPr>
          <w:t xml:space="preserve"> at </w:t>
        </w:r>
        <w:proofErr w:type="spellStart"/>
        <w:r w:rsidR="0070001F">
          <w:rPr>
            <w:rStyle w:val="Hyperddolen"/>
          </w:rPr>
          <w:t>Work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Regulations</w:t>
        </w:r>
        <w:proofErr w:type="spellEnd"/>
        <w:r w:rsidR="0070001F">
          <w:rPr>
            <w:rStyle w:val="Hyperddolen"/>
          </w:rPr>
          <w:t xml:space="preserve"> 2005 </w:t>
        </w:r>
      </w:hyperlink>
    </w:p>
    <w:p w14:paraId="1F77E739" w14:textId="77777777" w:rsidR="00300741" w:rsidRDefault="00AE2FCF" w:rsidP="00300741">
      <w:pPr>
        <w:pStyle w:val="Normalbulletsublist"/>
        <w:numPr>
          <w:ilvl w:val="0"/>
          <w:numId w:val="17"/>
        </w:numPr>
        <w:ind w:left="284" w:hanging="284"/>
      </w:pPr>
      <w:hyperlink r:id="rId30" w:history="1">
        <w:r w:rsidR="0070001F">
          <w:rPr>
            <w:rStyle w:val="Hyperddolen"/>
          </w:rPr>
          <w:t xml:space="preserve">HSE | </w:t>
        </w:r>
        <w:proofErr w:type="spellStart"/>
        <w:r w:rsidR="0070001F">
          <w:rPr>
            <w:rStyle w:val="Hyperddolen"/>
          </w:rPr>
          <w:t>Woodworking</w:t>
        </w:r>
        <w:proofErr w:type="spellEnd"/>
        <w:r w:rsidR="0070001F">
          <w:rPr>
            <w:rStyle w:val="Hyperddolen"/>
          </w:rPr>
          <w:t xml:space="preserve"> Publications - </w:t>
        </w:r>
        <w:proofErr w:type="spellStart"/>
        <w:r w:rsidR="0070001F">
          <w:rPr>
            <w:rStyle w:val="Hyperddolen"/>
          </w:rPr>
          <w:t>Free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leaflets</w:t>
        </w:r>
        <w:proofErr w:type="spellEnd"/>
      </w:hyperlink>
    </w:p>
    <w:p w14:paraId="55EE3253" w14:textId="77777777" w:rsidR="00300741" w:rsidRDefault="00AE2FCF" w:rsidP="00300741">
      <w:pPr>
        <w:pStyle w:val="Normalbulletsublist"/>
        <w:numPr>
          <w:ilvl w:val="0"/>
          <w:numId w:val="17"/>
        </w:numPr>
        <w:ind w:left="284" w:hanging="284"/>
        <w:rPr>
          <w:rStyle w:val="Hyperddolen"/>
          <w:color w:val="auto"/>
          <w:u w:val="none"/>
        </w:rPr>
      </w:pPr>
      <w:hyperlink r:id="rId31" w:history="1">
        <w:r w:rsidR="0070001F">
          <w:rPr>
            <w:rStyle w:val="Hyperddolen"/>
          </w:rPr>
          <w:t xml:space="preserve">HSE | </w:t>
        </w:r>
        <w:proofErr w:type="spellStart"/>
        <w:r w:rsidR="0070001F">
          <w:rPr>
            <w:rStyle w:val="Hyperddolen"/>
          </w:rPr>
          <w:t>Safe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use</w:t>
        </w:r>
        <w:proofErr w:type="spellEnd"/>
        <w:r w:rsidR="0070001F">
          <w:rPr>
            <w:rStyle w:val="Hyperddolen"/>
          </w:rPr>
          <w:t xml:space="preserve"> of </w:t>
        </w:r>
        <w:proofErr w:type="spellStart"/>
        <w:r w:rsidR="0070001F">
          <w:rPr>
            <w:rStyle w:val="Hyperddolen"/>
          </w:rPr>
          <w:t>woodworking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machinery</w:t>
        </w:r>
        <w:proofErr w:type="spellEnd"/>
      </w:hyperlink>
    </w:p>
    <w:p w14:paraId="7AE532F6" w14:textId="77777777" w:rsidR="00CA5003" w:rsidRPr="00CA5003" w:rsidRDefault="00AE2FCF" w:rsidP="00300741">
      <w:pPr>
        <w:pStyle w:val="Normalbulletsublist"/>
        <w:numPr>
          <w:ilvl w:val="0"/>
          <w:numId w:val="17"/>
        </w:numPr>
        <w:ind w:left="284" w:hanging="284"/>
        <w:rPr>
          <w:rStyle w:val="Hyperddolen"/>
          <w:color w:val="auto"/>
          <w:u w:val="none"/>
        </w:rPr>
      </w:pPr>
      <w:hyperlink r:id="rId32" w:history="1">
        <w:r w:rsidR="0070001F">
          <w:rPr>
            <w:rStyle w:val="Hyperddolen"/>
            <w:shd w:val="clear" w:color="auto" w:fill="FFFFFF"/>
          </w:rPr>
          <w:t xml:space="preserve">HSE | </w:t>
        </w:r>
        <w:proofErr w:type="spellStart"/>
        <w:r w:rsidR="0070001F">
          <w:rPr>
            <w:rStyle w:val="Hyperddolen"/>
            <w:shd w:val="clear" w:color="auto" w:fill="FFFFFF"/>
          </w:rPr>
          <w:t>Health</w:t>
        </w:r>
        <w:proofErr w:type="spellEnd"/>
        <w:r w:rsidR="0070001F">
          <w:rPr>
            <w:rStyle w:val="Hyperddolen"/>
            <w:shd w:val="clear" w:color="auto" w:fill="FFFFFF"/>
          </w:rPr>
          <w:t xml:space="preserve"> </w:t>
        </w:r>
        <w:proofErr w:type="spellStart"/>
        <w:r w:rsidR="0070001F">
          <w:rPr>
            <w:rStyle w:val="Hyperddolen"/>
            <w:shd w:val="clear" w:color="auto" w:fill="FFFFFF"/>
          </w:rPr>
          <w:t>and</w:t>
        </w:r>
        <w:proofErr w:type="spellEnd"/>
        <w:r w:rsidR="0070001F">
          <w:rPr>
            <w:rStyle w:val="Hyperddolen"/>
            <w:shd w:val="clear" w:color="auto" w:fill="FFFFFF"/>
          </w:rPr>
          <w:t xml:space="preserve"> </w:t>
        </w:r>
        <w:proofErr w:type="spellStart"/>
        <w:r w:rsidR="0070001F">
          <w:rPr>
            <w:rStyle w:val="Hyperddolen"/>
            <w:shd w:val="clear" w:color="auto" w:fill="FFFFFF"/>
          </w:rPr>
          <w:t>Safety</w:t>
        </w:r>
        <w:proofErr w:type="spellEnd"/>
        <w:r w:rsidR="0070001F">
          <w:rPr>
            <w:rStyle w:val="Hyperddolen"/>
            <w:shd w:val="clear" w:color="auto" w:fill="FFFFFF"/>
          </w:rPr>
          <w:t xml:space="preserve"> at </w:t>
        </w:r>
        <w:proofErr w:type="spellStart"/>
        <w:r w:rsidR="0070001F">
          <w:rPr>
            <w:rStyle w:val="Hyperddolen"/>
            <w:shd w:val="clear" w:color="auto" w:fill="FFFFFF"/>
          </w:rPr>
          <w:t>Work</w:t>
        </w:r>
        <w:proofErr w:type="spellEnd"/>
        <w:r w:rsidR="0070001F">
          <w:rPr>
            <w:rStyle w:val="Hyperddolen"/>
            <w:shd w:val="clear" w:color="auto" w:fill="FFFFFF"/>
          </w:rPr>
          <w:t xml:space="preserve"> Act 1974 </w:t>
        </w:r>
        <w:proofErr w:type="spellStart"/>
        <w:r w:rsidR="0070001F">
          <w:rPr>
            <w:rStyle w:val="Hyperddolen"/>
            <w:shd w:val="clear" w:color="auto" w:fill="FFFFFF"/>
          </w:rPr>
          <w:t>explained</w:t>
        </w:r>
        <w:proofErr w:type="spellEnd"/>
      </w:hyperlink>
    </w:p>
    <w:p w14:paraId="2E0D71F8" w14:textId="701DBC25" w:rsidR="00300741" w:rsidRPr="00CA5003" w:rsidRDefault="00AE2FCF" w:rsidP="00CA5003">
      <w:pPr>
        <w:pStyle w:val="Normalbulletlist"/>
        <w:numPr>
          <w:ilvl w:val="0"/>
          <w:numId w:val="17"/>
        </w:numPr>
        <w:ind w:left="284" w:hanging="284"/>
        <w:rPr>
          <w:rFonts w:cs="Arial"/>
          <w:szCs w:val="22"/>
        </w:rPr>
      </w:pPr>
      <w:hyperlink r:id="rId33" w:history="1"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HSE | </w:t>
        </w:r>
        <w:proofErr w:type="spellStart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Health</w:t>
        </w:r>
        <w:proofErr w:type="spellEnd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and</w:t>
        </w:r>
        <w:proofErr w:type="spellEnd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safety</w:t>
        </w:r>
        <w:proofErr w:type="spellEnd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in</w:t>
        </w:r>
        <w:proofErr w:type="spellEnd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the </w:t>
        </w:r>
        <w:proofErr w:type="spellStart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woodworking</w:t>
        </w:r>
        <w:proofErr w:type="spellEnd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</w:t>
        </w:r>
        <w:proofErr w:type="spellStart"/>
        <w:r w:rsidR="007000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industry</w:t>
        </w:r>
        <w:proofErr w:type="spellEnd"/>
      </w:hyperlink>
    </w:p>
    <w:p w14:paraId="54DA0C70" w14:textId="77777777" w:rsidR="00300741" w:rsidRDefault="00AE2FCF" w:rsidP="00300741">
      <w:pPr>
        <w:pStyle w:val="Normalbulletsublist"/>
        <w:numPr>
          <w:ilvl w:val="0"/>
          <w:numId w:val="17"/>
        </w:numPr>
        <w:ind w:left="284" w:hanging="284"/>
      </w:pPr>
      <w:hyperlink r:id="rId34" w:history="1">
        <w:r w:rsidR="0070001F">
          <w:rPr>
            <w:rStyle w:val="Hyperddolen"/>
          </w:rPr>
          <w:t xml:space="preserve">HSE | Construction Design </w:t>
        </w:r>
        <w:proofErr w:type="spellStart"/>
        <w:r w:rsidR="0070001F">
          <w:rPr>
            <w:rStyle w:val="Hyperddolen"/>
          </w:rPr>
          <w:t>and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Management</w:t>
        </w:r>
        <w:proofErr w:type="spellEnd"/>
        <w:r w:rsidR="0070001F">
          <w:rPr>
            <w:rStyle w:val="Hyperddolen"/>
          </w:rPr>
          <w:t xml:space="preserve"> </w:t>
        </w:r>
        <w:proofErr w:type="spellStart"/>
        <w:r w:rsidR="0070001F">
          <w:rPr>
            <w:rStyle w:val="Hyperddolen"/>
          </w:rPr>
          <w:t>Regulations</w:t>
        </w:r>
        <w:proofErr w:type="spellEnd"/>
        <w:r w:rsidR="0070001F">
          <w:rPr>
            <w:rStyle w:val="Hyperddolen"/>
          </w:rPr>
          <w:t xml:space="preserve"> 2015</w:t>
        </w:r>
      </w:hyperlink>
    </w:p>
    <w:p w14:paraId="4C1BFA41" w14:textId="77777777" w:rsidR="00300741" w:rsidRDefault="00AE2FCF" w:rsidP="00300741">
      <w:pPr>
        <w:pStyle w:val="Normalbulletsublist"/>
        <w:numPr>
          <w:ilvl w:val="0"/>
          <w:numId w:val="17"/>
        </w:numPr>
        <w:ind w:left="284" w:hanging="284"/>
      </w:pPr>
      <w:hyperlink r:id="rId35" w:history="1">
        <w:r w:rsidR="0070001F">
          <w:rPr>
            <w:rStyle w:val="Hyperddolen"/>
            <w:shd w:val="clear" w:color="auto" w:fill="FFFFFF"/>
          </w:rPr>
          <w:t>HSE | PUWER</w:t>
        </w:r>
      </w:hyperlink>
    </w:p>
    <w:p w14:paraId="685C7A16" w14:textId="77777777" w:rsidR="00300741" w:rsidRDefault="00AE2FCF" w:rsidP="00300741">
      <w:pPr>
        <w:pStyle w:val="Normalbulletsublist"/>
        <w:numPr>
          <w:ilvl w:val="0"/>
          <w:numId w:val="17"/>
        </w:numPr>
        <w:ind w:left="284" w:hanging="284"/>
        <w:rPr>
          <w:rStyle w:val="Hyperddolen"/>
          <w:color w:val="auto"/>
          <w:u w:val="none"/>
        </w:rPr>
      </w:pPr>
      <w:hyperlink r:id="rId36" w:history="1">
        <w:r w:rsidR="0070001F">
          <w:rPr>
            <w:rStyle w:val="Hyperddolen"/>
          </w:rPr>
          <w:t xml:space="preserve">HSE | RIDDOR </w:t>
        </w:r>
      </w:hyperlink>
    </w:p>
    <w:p w14:paraId="15B05929" w14:textId="77777777" w:rsidR="00EC6008" w:rsidRDefault="00AE2FCF" w:rsidP="00EC6008">
      <w:pPr>
        <w:pStyle w:val="Normalbulletsublist"/>
        <w:numPr>
          <w:ilvl w:val="0"/>
          <w:numId w:val="20"/>
        </w:numPr>
        <w:ind w:left="284" w:hanging="284"/>
        <w:rPr>
          <w:rStyle w:val="Hyperddolen"/>
          <w:color w:val="auto"/>
          <w:u w:val="none"/>
        </w:rPr>
      </w:pPr>
      <w:hyperlink r:id="rId37" w:history="1">
        <w:r w:rsidR="0070001F">
          <w:rPr>
            <w:rStyle w:val="Hyperddolen"/>
          </w:rPr>
          <w:t>HSE | COSHH</w:t>
        </w:r>
      </w:hyperlink>
    </w:p>
    <w:p w14:paraId="3B3D307A" w14:textId="522CA485" w:rsidR="00A945F5" w:rsidRPr="00A63F2B" w:rsidRDefault="00AE2FCF" w:rsidP="00EC6008">
      <w:pPr>
        <w:pStyle w:val="Normalbulletsublist"/>
        <w:numPr>
          <w:ilvl w:val="0"/>
          <w:numId w:val="20"/>
        </w:numPr>
        <w:ind w:left="284" w:hanging="284"/>
      </w:pPr>
      <w:hyperlink r:id="rId38" w:history="1">
        <w:r w:rsidR="0070001F">
          <w:rPr>
            <w:rStyle w:val="Hyperddolen"/>
          </w:rPr>
          <w:t>HSE | LOLER</w:t>
        </w:r>
      </w:hyperlink>
    </w:p>
    <w:p w14:paraId="355ACB68" w14:textId="77777777" w:rsidR="0070001F" w:rsidRDefault="0070001F" w:rsidP="00BC54FB">
      <w:pPr>
        <w:pStyle w:val="Normalheadingblack"/>
      </w:pPr>
    </w:p>
    <w:p w14:paraId="38F511DD" w14:textId="77777777" w:rsidR="0070001F" w:rsidRPr="001C0CA5" w:rsidRDefault="0070001F" w:rsidP="0070001F">
      <w:pPr>
        <w:pStyle w:val="Style1"/>
        <w:spacing w:before="0" w:line="240" w:lineRule="auto"/>
      </w:pPr>
      <w:r>
        <w:t>Adnoddau a awgrymir (parhad)</w:t>
      </w:r>
    </w:p>
    <w:p w14:paraId="703D3CD9" w14:textId="773A29D2" w:rsidR="00802D8E" w:rsidRDefault="00802D8E" w:rsidP="00BC54FB">
      <w:pPr>
        <w:pStyle w:val="Normalheadingblack"/>
      </w:pPr>
      <w:r>
        <w:t>Gwerslyfrau</w:t>
      </w:r>
    </w:p>
    <w:bookmarkEnd w:id="0"/>
    <w:p w14:paraId="63F01ADE" w14:textId="77777777" w:rsidR="00E22DEE" w:rsidRDefault="00E22DEE" w:rsidP="00EC6008">
      <w:pPr>
        <w:pStyle w:val="Normalbulletsublist"/>
        <w:numPr>
          <w:ilvl w:val="0"/>
          <w:numId w:val="18"/>
        </w:numPr>
        <w:ind w:left="284" w:hanging="284"/>
      </w:pPr>
      <w:r>
        <w:t xml:space="preserve">Jones, S., </w:t>
      </w:r>
      <w:proofErr w:type="spellStart"/>
      <w:r>
        <w:t>Redfern</w:t>
      </w:r>
      <w:proofErr w:type="spellEnd"/>
      <w:r>
        <w:t xml:space="preserve">, S., </w:t>
      </w:r>
      <w:proofErr w:type="spellStart"/>
      <w:r>
        <w:t>Fearn</w:t>
      </w:r>
      <w:proofErr w:type="spellEnd"/>
      <w:r>
        <w:t xml:space="preserve">, C. (2019) </w:t>
      </w:r>
      <w:r>
        <w:rPr>
          <w:i/>
          <w:iCs/>
        </w:rPr>
        <w:t xml:space="preserve">The City &amp; </w:t>
      </w:r>
      <w:proofErr w:type="spellStart"/>
      <w:r>
        <w:rPr>
          <w:i/>
          <w:iCs/>
        </w:rPr>
        <w:t>Guilds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Textbook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Site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Carpentry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Architectural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Joinery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2 </w:t>
      </w:r>
      <w:proofErr w:type="spellStart"/>
      <w:r>
        <w:rPr>
          <w:i/>
          <w:iCs/>
        </w:rPr>
        <w:t>Apprenticeship</w:t>
      </w:r>
      <w:proofErr w:type="spellEnd"/>
      <w:r>
        <w:rPr>
          <w:i/>
          <w:iCs/>
        </w:rPr>
        <w:t xml:space="preserve"> (6571),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2 </w:t>
      </w:r>
      <w:proofErr w:type="spellStart"/>
      <w:r>
        <w:rPr>
          <w:i/>
          <w:iCs/>
        </w:rPr>
        <w:t>Technical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Certificate</w:t>
      </w:r>
      <w:proofErr w:type="spellEnd"/>
      <w:r>
        <w:rPr>
          <w:i/>
          <w:iCs/>
        </w:rPr>
        <w:t xml:space="preserve"> (7906) &amp;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2 Diploma (6706)</w:t>
      </w:r>
      <w:r>
        <w:t xml:space="preserve">. London: </w:t>
      </w:r>
      <w:proofErr w:type="spellStart"/>
      <w:r>
        <w:t>Hodder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.</w:t>
      </w:r>
    </w:p>
    <w:p w14:paraId="0D43AE8A" w14:textId="77777777" w:rsidR="00E22DEE" w:rsidRPr="004E69B5" w:rsidRDefault="00E22DEE" w:rsidP="00EC6008">
      <w:pPr>
        <w:pStyle w:val="Normalbulletsublist"/>
        <w:numPr>
          <w:ilvl w:val="0"/>
          <w:numId w:val="0"/>
        </w:numPr>
        <w:ind w:left="284"/>
      </w:pPr>
      <w:r>
        <w:t>ISBN 978-1-5104-5813-0</w:t>
      </w:r>
    </w:p>
    <w:p w14:paraId="788B8938" w14:textId="77777777" w:rsidR="00E22DEE" w:rsidRDefault="00E22DEE" w:rsidP="00EC6008">
      <w:pPr>
        <w:pStyle w:val="Normalbulletsublist"/>
        <w:numPr>
          <w:ilvl w:val="0"/>
          <w:numId w:val="19"/>
        </w:numPr>
        <w:ind w:left="284" w:hanging="284"/>
      </w:pPr>
      <w:proofErr w:type="spellStart"/>
      <w:r>
        <w:t>Burdfield</w:t>
      </w:r>
      <w:proofErr w:type="spellEnd"/>
      <w:r>
        <w:t xml:space="preserve">, M., Jones, S., </w:t>
      </w:r>
      <w:proofErr w:type="spellStart"/>
      <w:r>
        <w:t>Redfern</w:t>
      </w:r>
      <w:proofErr w:type="spellEnd"/>
      <w:r>
        <w:t xml:space="preserve">, S., </w:t>
      </w:r>
      <w:proofErr w:type="spellStart"/>
      <w:r>
        <w:t>Fearn</w:t>
      </w:r>
      <w:proofErr w:type="spellEnd"/>
      <w:r>
        <w:t xml:space="preserve">, C. (2020) </w:t>
      </w:r>
      <w:r>
        <w:rPr>
          <w:i/>
          <w:iCs/>
        </w:rPr>
        <w:t xml:space="preserve">The City &amp; </w:t>
      </w:r>
      <w:proofErr w:type="spellStart"/>
      <w:r>
        <w:rPr>
          <w:i/>
          <w:iCs/>
        </w:rPr>
        <w:t>Guilds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Textbook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Site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Carpentry</w:t>
      </w:r>
      <w:proofErr w:type="spellEnd"/>
      <w:r>
        <w:rPr>
          <w:i/>
          <w:iCs/>
        </w:rPr>
        <w:t xml:space="preserve"> &amp; </w:t>
      </w:r>
      <w:proofErr w:type="spellStart"/>
      <w:r>
        <w:rPr>
          <w:i/>
          <w:iCs/>
        </w:rPr>
        <w:t>Architectural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Joinery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3 </w:t>
      </w:r>
      <w:proofErr w:type="spellStart"/>
      <w:r>
        <w:rPr>
          <w:i/>
          <w:iCs/>
        </w:rPr>
        <w:t>Apprenticeship</w:t>
      </w:r>
      <w:proofErr w:type="spellEnd"/>
      <w:r>
        <w:rPr>
          <w:i/>
          <w:iCs/>
        </w:rPr>
        <w:t xml:space="preserve"> (6571),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3 Advanced </w:t>
      </w:r>
      <w:proofErr w:type="spellStart"/>
      <w:r>
        <w:rPr>
          <w:i/>
          <w:iCs/>
        </w:rPr>
        <w:t>Technical</w:t>
      </w:r>
      <w:proofErr w:type="spellEnd"/>
      <w:r>
        <w:rPr>
          <w:i/>
          <w:iCs/>
        </w:rPr>
        <w:t xml:space="preserve"> Diploma (7906) &amp; </w:t>
      </w:r>
      <w:proofErr w:type="spellStart"/>
      <w:r>
        <w:rPr>
          <w:i/>
          <w:iCs/>
        </w:rPr>
        <w:t>Level</w:t>
      </w:r>
      <w:proofErr w:type="spellEnd"/>
      <w:r>
        <w:rPr>
          <w:i/>
          <w:iCs/>
        </w:rPr>
        <w:t xml:space="preserve"> 3 Diploma</w:t>
      </w:r>
      <w:r>
        <w:t xml:space="preserve">. London: </w:t>
      </w:r>
      <w:proofErr w:type="spellStart"/>
      <w:r>
        <w:t>Hodder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.</w:t>
      </w:r>
    </w:p>
    <w:p w14:paraId="1C1C262D" w14:textId="33C4863E" w:rsidR="00E22DEE" w:rsidRDefault="00E22DEE" w:rsidP="00EC6008">
      <w:pPr>
        <w:pStyle w:val="Normalbulletsublist"/>
        <w:numPr>
          <w:ilvl w:val="0"/>
          <w:numId w:val="0"/>
        </w:numPr>
        <w:ind w:left="284"/>
      </w:pPr>
      <w:r>
        <w:t>ISBN 978-1-5104-5815-4</w:t>
      </w:r>
    </w:p>
    <w:p w14:paraId="155ECE65" w14:textId="7120B24F" w:rsidR="0070001F" w:rsidRDefault="0070001F" w:rsidP="00EC6008">
      <w:pPr>
        <w:pStyle w:val="Normalbulletsublist"/>
        <w:numPr>
          <w:ilvl w:val="0"/>
          <w:numId w:val="0"/>
        </w:numPr>
        <w:ind w:left="284"/>
        <w:rPr>
          <w:lang w:eastAsia="en-GB"/>
        </w:rPr>
      </w:pPr>
    </w:p>
    <w:p w14:paraId="0E6574B1" w14:textId="653A64AB" w:rsidR="0070001F" w:rsidRDefault="0070001F" w:rsidP="00EC6008">
      <w:pPr>
        <w:pStyle w:val="Normalbulletsublist"/>
        <w:numPr>
          <w:ilvl w:val="0"/>
          <w:numId w:val="0"/>
        </w:numPr>
        <w:ind w:left="284"/>
        <w:rPr>
          <w:lang w:eastAsia="en-GB"/>
        </w:rPr>
      </w:pPr>
    </w:p>
    <w:p w14:paraId="0C34E112" w14:textId="63AB270F" w:rsidR="0070001F" w:rsidRDefault="0070001F" w:rsidP="00EC6008">
      <w:pPr>
        <w:pStyle w:val="Normalbulletsublist"/>
        <w:numPr>
          <w:ilvl w:val="0"/>
          <w:numId w:val="0"/>
        </w:numPr>
        <w:ind w:left="284"/>
        <w:rPr>
          <w:lang w:eastAsia="en-GB"/>
        </w:rPr>
      </w:pPr>
    </w:p>
    <w:p w14:paraId="38065B24" w14:textId="66E3551C" w:rsidR="0070001F" w:rsidRDefault="0070001F" w:rsidP="00EC6008">
      <w:pPr>
        <w:pStyle w:val="Normalbulletsublist"/>
        <w:numPr>
          <w:ilvl w:val="0"/>
          <w:numId w:val="0"/>
        </w:numPr>
        <w:ind w:left="284"/>
        <w:rPr>
          <w:lang w:eastAsia="en-GB"/>
        </w:rPr>
      </w:pPr>
    </w:p>
    <w:p w14:paraId="3A44F5A1" w14:textId="028FEEE5" w:rsidR="0070001F" w:rsidRDefault="0070001F" w:rsidP="00EC6008">
      <w:pPr>
        <w:pStyle w:val="Normalbulletsublist"/>
        <w:numPr>
          <w:ilvl w:val="0"/>
          <w:numId w:val="0"/>
        </w:numPr>
        <w:ind w:left="284"/>
        <w:rPr>
          <w:lang w:eastAsia="en-GB"/>
        </w:rPr>
      </w:pPr>
    </w:p>
    <w:p w14:paraId="66CC6CA7" w14:textId="304F2658" w:rsidR="0070001F" w:rsidRDefault="0070001F" w:rsidP="00EC6008">
      <w:pPr>
        <w:pStyle w:val="Normalbulletsublist"/>
        <w:numPr>
          <w:ilvl w:val="0"/>
          <w:numId w:val="0"/>
        </w:numPr>
        <w:ind w:left="284"/>
      </w:pPr>
    </w:p>
    <w:p w14:paraId="677ED8DB" w14:textId="08523010" w:rsidR="0070001F" w:rsidRDefault="0070001F" w:rsidP="00EC6008">
      <w:pPr>
        <w:pStyle w:val="Normalbulletsublist"/>
        <w:numPr>
          <w:ilvl w:val="0"/>
          <w:numId w:val="0"/>
        </w:numPr>
        <w:ind w:left="284"/>
      </w:pPr>
    </w:p>
    <w:p w14:paraId="540A9BDF" w14:textId="360A8D7C" w:rsidR="0070001F" w:rsidRDefault="0070001F" w:rsidP="00EC6008">
      <w:pPr>
        <w:pStyle w:val="Normalbulletsublist"/>
        <w:numPr>
          <w:ilvl w:val="0"/>
          <w:numId w:val="0"/>
        </w:numPr>
        <w:ind w:left="284"/>
      </w:pPr>
    </w:p>
    <w:p w14:paraId="4DE28EDC" w14:textId="078F6C56" w:rsidR="0070001F" w:rsidRDefault="0070001F" w:rsidP="00EC6008">
      <w:pPr>
        <w:pStyle w:val="Normalbulletsublist"/>
        <w:numPr>
          <w:ilvl w:val="0"/>
          <w:numId w:val="0"/>
        </w:numPr>
        <w:ind w:left="284"/>
      </w:pPr>
    </w:p>
    <w:p w14:paraId="243BCDA0" w14:textId="77777777" w:rsidR="0070001F" w:rsidRPr="004E69B5" w:rsidRDefault="0070001F" w:rsidP="00EC6008">
      <w:pPr>
        <w:pStyle w:val="Normalbulletsublist"/>
        <w:numPr>
          <w:ilvl w:val="0"/>
          <w:numId w:val="0"/>
        </w:numPr>
        <w:ind w:left="284"/>
      </w:pPr>
    </w:p>
    <w:p w14:paraId="1B9DD587" w14:textId="776D52A4" w:rsidR="0070001F" w:rsidRDefault="0070001F" w:rsidP="009F1F2C">
      <w:pPr>
        <w:pStyle w:val="Normalbulletsublist"/>
        <w:numPr>
          <w:ilvl w:val="0"/>
          <w:numId w:val="0"/>
        </w:numPr>
      </w:pPr>
      <w:r>
        <w:br w:type="page"/>
      </w:r>
    </w:p>
    <w:p w14:paraId="38084DBF" w14:textId="77777777" w:rsidR="00D93C78" w:rsidRDefault="00D93C78" w:rsidP="009F1F2C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54D004F3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GridTablGolau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3C6762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C89A05E" w:rsidR="003C6762" w:rsidRPr="00CD50CC" w:rsidRDefault="003C6762" w:rsidP="00EA40F2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dehongli a chynnal gwybodaeth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E5938F3" w:rsidR="003C6762" w:rsidRPr="00CD50CC" w:rsidRDefault="003C6762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gweithdrefnau sefydliadol a ddatblygwyd ar gyfer rhoi gwybod am wybodaeth amhriodol ac adnoddau anaddas a’u cywiro, a sut y mae'r rhain yn cael eu rhoi ar waith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2A1A5D3" w14:textId="2F400F78" w:rsidR="003C6762" w:rsidRPr="00060EC4" w:rsidRDefault="001F7674" w:rsidP="003E7440">
            <w:pPr>
              <w:pStyle w:val="Normalbulletlist"/>
            </w:pPr>
            <w:r>
              <w:t>Bydd dysgwyr yn deall y mathau o weithdrefnau sefydliadol, eu nodweddion a’u defnyddiau, gan gynnwys cyfleu'r broblem ar lafar, cadwyn awdurdod, sgyrsiau blwch offer a sesiynau cynefino â’r safle.</w:t>
            </w:r>
          </w:p>
        </w:tc>
      </w:tr>
      <w:tr w:rsidR="003C6762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3C6762" w:rsidRPr="00CD50CC" w:rsidRDefault="003C6762" w:rsidP="00EA40F2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98B69AE" w:rsidR="003C6762" w:rsidRPr="00CD50CC" w:rsidRDefault="003C6762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17BB7C46" w:rsidR="003C6762" w:rsidRPr="00CD50CC" w:rsidRDefault="001F7674" w:rsidP="00C85C02">
            <w:pPr>
              <w:pStyle w:val="Normalbulletlist"/>
            </w:pPr>
            <w:r>
              <w:t xml:space="preserve">Bydd dysgwyr yn deall beth yw nodweddion a sut mae defnyddio lluniadau a chynlluniau (cynllun toi, cynllun distiau, cynllun llawr, lluniadau ystod, ystod cydrannau a gweddluniau), manylebau, amserlenni, datganiadau dull, asesiadau o risg, hysbysiadau safle ac arwyddion diogelwch, gwybodaeth gwneuthurwyr, cyfarwyddiadau ar lafar ac yn ysgrifenedig, Rheoliadau Adeiladu, a sut maent yn cael eu rhoi ar waith.   </w:t>
            </w:r>
          </w:p>
        </w:tc>
      </w:tr>
      <w:tr w:rsidR="003C6762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3C6762" w:rsidRPr="00CD50CC" w:rsidRDefault="003C6762" w:rsidP="00EA40F2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8CFE0C9" w:rsidR="003C6762" w:rsidRPr="00CD50CC" w:rsidRDefault="003C6762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 sefydliadol o ran datrys problemau â gwybodaeth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794AFD" w14:textId="43BF8A4E" w:rsidR="00A212A2" w:rsidRPr="00E925ED" w:rsidRDefault="001F7674" w:rsidP="00C85C02">
            <w:pPr>
              <w:pStyle w:val="Normalbulletlist"/>
            </w:pPr>
            <w:r>
              <w:t xml:space="preserve">Bydd dysgwyr yn deall: </w:t>
            </w:r>
          </w:p>
          <w:p w14:paraId="7456914E" w14:textId="31B7BA8B" w:rsidR="00F826D7" w:rsidRPr="00F826D7" w:rsidRDefault="00BE2C7E" w:rsidP="00060EC4">
            <w:pPr>
              <w:pStyle w:val="Normalbulletsublist"/>
            </w:pPr>
            <w:r>
              <w:rPr>
                <w:rFonts w:cs="Arial"/>
                <w:szCs w:val="22"/>
                <w:lang w:eastAsia="en-GB"/>
              </w:rPr>
              <w:t>y mathau o broblemau sy’n codi o wybodaeth amhriodol, gan gynnwys cam-glywed cyfarwyddiadau, gwybodaeth anghywir, camddehongli datganiadau dull, rhoi gwybodaeth anghywir.</w:t>
            </w:r>
          </w:p>
          <w:p w14:paraId="21CF31F4" w14:textId="053EC945" w:rsidR="003C6762" w:rsidRPr="00CD50CC" w:rsidRDefault="00F826D7" w:rsidP="00060EC4">
            <w:pPr>
              <w:pStyle w:val="Normalbulletsublist"/>
            </w:pPr>
            <w:r>
              <w:t xml:space="preserve">y mathau o broblemau a’r peryglon posibl sy’n deillio o adnoddau gan gynnwys deunyddiau anaddas, tywydd garw ac amgylchiadau sy’n newid. </w:t>
            </w:r>
          </w:p>
        </w:tc>
      </w:tr>
      <w:tr w:rsidR="003C6762" w:rsidRPr="00D979B1" w14:paraId="57923AF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D2DD1D" w14:textId="77777777" w:rsidR="003C6762" w:rsidRPr="00CD50CC" w:rsidRDefault="003C6762" w:rsidP="003C6762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7978D3" w14:textId="15BDB598" w:rsidR="003C6762" w:rsidRPr="00BC2FA0" w:rsidRDefault="00380002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Pwysigrwydd cynnal dogfennau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1D27F1" w14:textId="75BB7398" w:rsidR="003C6762" w:rsidRPr="00CD50CC" w:rsidRDefault="00DD4F81" w:rsidP="00DD4F81">
            <w:pPr>
              <w:pStyle w:val="Normalbulletlist"/>
            </w:pPr>
            <w:r>
              <w:t>Bydd dysgwyr yn gwybod sut mae cynnal dogfennau, gan gynnwys: cardiau tasg, taflenni gwaith, rhestrau deunyddiau/adnoddau a thaflenni amser.</w:t>
            </w:r>
          </w:p>
        </w:tc>
      </w:tr>
      <w:tr w:rsidR="006F762E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B5B85CB" w:rsidR="006F762E" w:rsidRPr="00CD50CC" w:rsidRDefault="00380002" w:rsidP="00EA40F2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412E426" w:rsidR="006F762E" w:rsidRPr="00CD50CC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Lefel y ddealltwriaeth y mae angen i weithredwyr ei chael o wybodaeth am 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7B6141" w14:textId="07BC3CCC" w:rsidR="004E2871" w:rsidRPr="004E2871" w:rsidRDefault="00DD4F81" w:rsidP="004E2871">
            <w:pPr>
              <w:pStyle w:val="Normalbulletlist"/>
            </w:pPr>
            <w:r>
              <w:t xml:space="preserve">Bydd dysgwyr yn deall egwyddorion y darnau canlynol o ddeddfwriaeth, diben pob deddfwriaeth, sut mae’n cael ei defnyddio mewn diwydiant a chanlyniadau peidio â chydymffurfio: </w:t>
            </w:r>
          </w:p>
          <w:p w14:paraId="50198EBB" w14:textId="77777777" w:rsidR="004E2871" w:rsidRPr="004E2871" w:rsidRDefault="00F826D7" w:rsidP="002468C5">
            <w:pPr>
              <w:pStyle w:val="Normalbulletsublist"/>
            </w:pPr>
            <w:r>
              <w:t>Rheoliadau adeiladu</w:t>
            </w:r>
          </w:p>
          <w:p w14:paraId="6A54F992" w14:textId="5E4E46C9" w:rsidR="004E2871" w:rsidRPr="004E2871" w:rsidRDefault="00F826D7" w:rsidP="002468C5">
            <w:pPr>
              <w:pStyle w:val="Normalbulletsublist"/>
            </w:pPr>
            <w:r>
              <w:t>Rheoliadau Gweithio ar Uchder 2005 (WAH)</w:t>
            </w:r>
          </w:p>
          <w:p w14:paraId="7A85CD77" w14:textId="6D8E2B9F" w:rsidR="004E2871" w:rsidRPr="004E2871" w:rsidRDefault="00F826D7" w:rsidP="002468C5">
            <w:pPr>
              <w:pStyle w:val="Normalbulletsublist"/>
            </w:pPr>
            <w:r>
              <w:t xml:space="preserve">Deddf Iechyd a Diogelwch yn y Gwaith </w:t>
            </w:r>
            <w:proofErr w:type="spellStart"/>
            <w:r>
              <w:t>etc</w:t>
            </w:r>
            <w:proofErr w:type="spellEnd"/>
            <w:r>
              <w:t xml:space="preserve"> 1974 (HASAWA)</w:t>
            </w:r>
          </w:p>
          <w:p w14:paraId="19C7710E" w14:textId="022C5E96" w:rsidR="004E2871" w:rsidRPr="004E2871" w:rsidRDefault="00F36243" w:rsidP="002468C5">
            <w:pPr>
              <w:pStyle w:val="Normalbulletsublist"/>
            </w:pPr>
            <w:r>
              <w:t>Rheoliadau Darparu a Defnyddio Cyfarpar Gwaith 1998 (PUWER)</w:t>
            </w:r>
          </w:p>
          <w:p w14:paraId="713EB644" w14:textId="4A16896B" w:rsidR="004E2871" w:rsidRPr="004E2871" w:rsidRDefault="002E4EA0" w:rsidP="002468C5">
            <w:pPr>
              <w:pStyle w:val="Normalbulletsublist"/>
            </w:pPr>
            <w:r>
              <w:t>Codau Ymarfer Cymeradwy (</w:t>
            </w:r>
            <w:proofErr w:type="spellStart"/>
            <w:r>
              <w:t>ACOPs</w:t>
            </w:r>
            <w:proofErr w:type="spellEnd"/>
            <w:r>
              <w:t>)</w:t>
            </w:r>
          </w:p>
          <w:p w14:paraId="5BEB00DC" w14:textId="471C5F5B" w:rsidR="004E2871" w:rsidRPr="004E2871" w:rsidRDefault="00AD5974" w:rsidP="002468C5">
            <w:pPr>
              <w:pStyle w:val="Normalbulletsublist"/>
            </w:pPr>
            <w:r>
              <w:t>Rheoliadau Adrodd ar Anafiadau, Clefydau neu Ddigwyddiadau Peryglus 2013 (RIDDOR)</w:t>
            </w:r>
          </w:p>
          <w:p w14:paraId="63CDCACD" w14:textId="081089B7" w:rsidR="004E2871" w:rsidRPr="004E2871" w:rsidRDefault="004F3C52" w:rsidP="002468C5">
            <w:pPr>
              <w:pStyle w:val="Normalbulletsublist"/>
            </w:pPr>
            <w:r>
              <w:t>Rheoliadau Adeiladu (Dylunio a Rheoli) 2015 (CDM); Rheoliadau Rheoli Sylweddau Peryglus i Iechyd 2002 (COSHH)</w:t>
            </w:r>
          </w:p>
          <w:p w14:paraId="794BFDAA" w14:textId="31427CDD" w:rsidR="004E2871" w:rsidRPr="004E2871" w:rsidRDefault="006D1BC5" w:rsidP="002468C5">
            <w:pPr>
              <w:pStyle w:val="Normalbulletsublist"/>
            </w:pPr>
            <w:r>
              <w:t>Rheoliadau Cyfarpar Diogelu Personol (PPE)</w:t>
            </w:r>
          </w:p>
          <w:p w14:paraId="4899DD6C" w14:textId="7A8BC27D" w:rsidR="004E2871" w:rsidRPr="004E2871" w:rsidRDefault="00032E49" w:rsidP="002468C5">
            <w:pPr>
              <w:pStyle w:val="Normalbulletsublist"/>
            </w:pPr>
            <w:r>
              <w:t>Rheoliadau Gweithrediadau Codi a Chyfarpar Codi (LOLER)</w:t>
            </w:r>
          </w:p>
          <w:p w14:paraId="3D7C9082" w14:textId="5EB122CE" w:rsidR="004E2871" w:rsidRPr="004E2871" w:rsidRDefault="003E7440" w:rsidP="002468C5">
            <w:pPr>
              <w:pStyle w:val="Normalbulletsublist"/>
            </w:pPr>
            <w:r>
              <w:t xml:space="preserve"> Llwyfannau Gwaith Symudol sy’n Codi (MEWP)</w:t>
            </w:r>
          </w:p>
          <w:p w14:paraId="70A3022C" w14:textId="75A5BB95" w:rsidR="004E2871" w:rsidRPr="004E2871" w:rsidRDefault="00F826D7" w:rsidP="002468C5">
            <w:pPr>
              <w:pStyle w:val="Normalbulletsublist"/>
            </w:pPr>
            <w:r>
              <w:t>Rheoliadau Codi a Chario</w:t>
            </w:r>
          </w:p>
          <w:p w14:paraId="3ED1F5B5" w14:textId="76001554" w:rsidR="00F826D7" w:rsidRPr="00F826D7" w:rsidRDefault="00F826D7" w:rsidP="002468C5">
            <w:pPr>
              <w:pStyle w:val="Normalbulletsublist"/>
            </w:pPr>
            <w:r>
              <w:t xml:space="preserve">Rheoliadau Sŵn yn y Gwaith </w:t>
            </w:r>
          </w:p>
          <w:p w14:paraId="51B0001A" w14:textId="1F806B9D" w:rsidR="006F762E" w:rsidRPr="00F826D7" w:rsidRDefault="00F826D7" w:rsidP="00E2729E">
            <w:pPr>
              <w:pStyle w:val="Normalbulletlist"/>
            </w:pPr>
            <w:r>
              <w:t>Bydd dysgwyr yn deall rolau awdurdodau lleol yng nghyswllt cynllunio a Rheoli Adeiladu a rolau awdurdodau lleol o ran strwythurau treftadaeth, gan gynnwys ymgynghori â Cadw.</w:t>
            </w:r>
          </w:p>
        </w:tc>
      </w:tr>
      <w:tr w:rsidR="006F762E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F762E" w:rsidRPr="00CD50CC" w:rsidRDefault="006F762E" w:rsidP="00EA40F2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4CB2F3D" w:rsidR="006F762E" w:rsidRPr="00CD50CC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A3FFE6" w14:textId="70244981" w:rsidR="0076064F" w:rsidRPr="00E925ED" w:rsidRDefault="00DD4F81" w:rsidP="004E59F8">
            <w:pPr>
              <w:pStyle w:val="Normalbulletlist"/>
            </w:pPr>
            <w:r>
              <w:t xml:space="preserve">Bydd dysgwyr yn gwybod am y canlynol: </w:t>
            </w:r>
          </w:p>
          <w:p w14:paraId="462ED13C" w14:textId="1CAD27E6" w:rsidR="004E59F8" w:rsidRPr="004E59F8" w:rsidRDefault="004E59F8" w:rsidP="00060EC4">
            <w:pPr>
              <w:pStyle w:val="Normalbulletsublist"/>
            </w:pPr>
            <w:r>
              <w:t>sut mae ymateb i sefyllfaoedd yn unol ag awdurdodiad sefydliadol a sgiliau personol wrth ymdrin â thanau, gollyngiadau, anafiadau ac argyfyngau.</w:t>
            </w:r>
          </w:p>
          <w:p w14:paraId="4B88FAC0" w14:textId="39E06F6F" w:rsidR="00D36D91" w:rsidRPr="00D36D91" w:rsidRDefault="004E59F8" w:rsidP="00060EC4">
            <w:pPr>
              <w:pStyle w:val="Normalbulletsublist"/>
            </w:pPr>
            <w:r>
              <w:t>y mathau o gyfarpar diffodd tân a sut a phryd y cânt eu defnyddio ar gyfer gwahanol ddosbarthiadau o dân (dŵr, CO</w:t>
            </w:r>
            <w:r>
              <w:rPr>
                <w:vertAlign w:val="subscript"/>
              </w:rPr>
              <w:t>2</w:t>
            </w:r>
            <w:r>
              <w:t>, ewyn, powdr)</w:t>
            </w:r>
          </w:p>
          <w:p w14:paraId="38DB9D7B" w14:textId="721FB6BC" w:rsidR="004E59F8" w:rsidRPr="004E59F8" w:rsidRDefault="00436F14" w:rsidP="00060EC4">
            <w:pPr>
              <w:pStyle w:val="Normalbulletsublist"/>
            </w:pPr>
            <w:r>
              <w:t xml:space="preserve">beth mae’r triongl tân (tanwydd, ocsigen a gwres) yn ei olygu mewn perthynas â’r hyn sydd ei angen i bob tân ddechrau </w:t>
            </w:r>
          </w:p>
          <w:p w14:paraId="46AA900E" w14:textId="45B23A17" w:rsidR="004E59F8" w:rsidRPr="004E59F8" w:rsidRDefault="004E59F8" w:rsidP="00060EC4">
            <w:pPr>
              <w:pStyle w:val="Normalbulletsublist"/>
            </w:pPr>
            <w:r>
              <w:lastRenderedPageBreak/>
              <w:t>rôl a chyfrifoldeb gweithredwyr mewn perthynas â gwagio, atal a lleoli mannau ymgynnull</w:t>
            </w:r>
          </w:p>
          <w:p w14:paraId="00FA6A84" w14:textId="616B5E7E" w:rsidR="0054428F" w:rsidRPr="0054428F" w:rsidRDefault="004E59F8" w:rsidP="00060EC4">
            <w:pPr>
              <w:pStyle w:val="Normalbulletsublist"/>
            </w:pPr>
            <w:r>
              <w:t xml:space="preserve">y mathau o ollyngiadau, sut mae eu hatal a sut mae eu trwsio  </w:t>
            </w:r>
          </w:p>
          <w:p w14:paraId="2B81E829" w14:textId="6F14F551" w:rsidR="0054428F" w:rsidRPr="0054428F" w:rsidRDefault="004E59F8" w:rsidP="00060EC4">
            <w:pPr>
              <w:pStyle w:val="Normalbulletsublist"/>
            </w:pPr>
            <w:r>
              <w:t>y gweithdrefnau ar gyfer pecynnau gollyngiadau, arwyddion a sut mae cau yr ardal</w:t>
            </w:r>
          </w:p>
          <w:p w14:paraId="694919C9" w14:textId="121413B3" w:rsidR="0054428F" w:rsidRPr="0054428F" w:rsidRDefault="004E59F8" w:rsidP="00060EC4">
            <w:pPr>
              <w:pStyle w:val="Normalbulletsublist"/>
            </w:pPr>
            <w:r>
              <w:t xml:space="preserve">y mathau o anafiadau a chyfrifoldebau cyffredin sy’n berthnasol i weithredwr a swyddog cymorth cyntaf, y pecyn cymorth cyntaf ac adrodd am ddamweiniau ar gyfer argyfyngau sy’n ymwneud â gweithgareddau galwedigaethol, gan gynnwys atal </w:t>
            </w:r>
          </w:p>
          <w:p w14:paraId="5AC099BF" w14:textId="4A220DA7" w:rsidR="006F762E" w:rsidRPr="00CD50CC" w:rsidRDefault="004E59F8" w:rsidP="00060EC4">
            <w:pPr>
              <w:pStyle w:val="Normalbulletsublist"/>
            </w:pPr>
            <w:r>
              <w:t xml:space="preserve">gweithdrefnau argyfwng, gwasanaethau brys, gweithdrefnau adrodd, y trefniadau o ran mynedfeydd ac allanfeydd ar gyfer cerbydau argyfwng. </w:t>
            </w:r>
          </w:p>
        </w:tc>
      </w:tr>
      <w:tr w:rsidR="006F762E" w:rsidRPr="00D979B1" w14:paraId="47AC4A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43A5DDD" w14:textId="0912071C" w:rsidR="006F762E" w:rsidRPr="008A01E4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 diogelwch sefydliadol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31F3FD" w14:textId="7FB9A638" w:rsidR="0054428F" w:rsidRDefault="00BC005D" w:rsidP="0054428F">
            <w:pPr>
              <w:pStyle w:val="Normalbulletlist"/>
            </w:pPr>
            <w:r>
              <w:t>Bydd dysgwyr yn gwybod beth yw gweithdrefnau diogelwch y sefydliad ar gyfer y safle, gan gynnwys ffensys/palisau dros dro, swyddogion diogelwch a gwyliadwriaeth.</w:t>
            </w:r>
          </w:p>
          <w:p w14:paraId="6D3E151C" w14:textId="5036006F" w:rsidR="0054428F" w:rsidRPr="0054428F" w:rsidRDefault="00BF10D0" w:rsidP="0054428F">
            <w:pPr>
              <w:pStyle w:val="Normalbulletlist"/>
            </w:pPr>
            <w:r>
              <w:t xml:space="preserve">Bydd dysgwyr yn gwybod beth yw gweithdrefnau diogelwch y sefydliad ar gyfer gwahanol sefyllfaoedd, gan gynnwys: </w:t>
            </w:r>
          </w:p>
          <w:p w14:paraId="3F2C137E" w14:textId="27446377" w:rsidR="0054428F" w:rsidRPr="00342168" w:rsidRDefault="00F808F9" w:rsidP="00060EC4">
            <w:pPr>
              <w:pStyle w:val="Normalbulletsublist"/>
            </w:pPr>
            <w:r>
              <w:t>y gweithle: agor a chloi</w:t>
            </w:r>
          </w:p>
          <w:p w14:paraId="18F4925C" w14:textId="05A890DE" w:rsidR="0054428F" w:rsidRPr="00342168" w:rsidRDefault="00F808F9" w:rsidP="00060EC4">
            <w:pPr>
              <w:pStyle w:val="Normalbulletsublist"/>
            </w:pPr>
            <w:r>
              <w:t>y cwmni: mewngofnodi, gweithdrefnau awdurdodi ID</w:t>
            </w:r>
          </w:p>
          <w:p w14:paraId="799F85C5" w14:textId="2ECA56D0" w:rsidR="0054428F" w:rsidRPr="00342168" w:rsidRDefault="00F808F9" w:rsidP="00060EC4">
            <w:pPr>
              <w:pStyle w:val="Normalbulletsublist"/>
            </w:pPr>
            <w:r>
              <w:t>gweithredwyr: diogelwch offer, deunyddiau, cyfarpar a cherbydau, eiddo personol</w:t>
            </w:r>
          </w:p>
          <w:p w14:paraId="05C20AAB" w14:textId="77777777" w:rsidR="006F762E" w:rsidRDefault="00BF10D0" w:rsidP="00525EF1">
            <w:pPr>
              <w:pStyle w:val="Normalbulletlist"/>
            </w:pPr>
            <w:r>
              <w:t>Bydd dysgwyr yn gwybod beth yw'r gweithdrefnau diogelwch angenrheidiol mewn annedd ddomestig o’u cymharu ag ar safle.</w:t>
            </w:r>
          </w:p>
          <w:p w14:paraId="3E2FB7D5" w14:textId="23BD85F9" w:rsidR="00121C8F" w:rsidRPr="00CD50CC" w:rsidRDefault="00121C8F" w:rsidP="00525EF1">
            <w:pPr>
              <w:pStyle w:val="Normalbulletlist"/>
            </w:pPr>
            <w:r>
              <w:t>Bydd dysgwyr yn gwybod sut mae cludo offer a chyfarpar yn ôl ac ymlaen i safleoedd, anheddau domestig ac ati yn eu cerbyd eu hunain.</w:t>
            </w:r>
          </w:p>
        </w:tc>
      </w:tr>
      <w:tr w:rsidR="006F762E" w:rsidRPr="00D979B1" w14:paraId="06034E0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2457BC" w14:textId="3CCFEA44" w:rsidR="006F762E" w:rsidRPr="004C6ADC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Beth yw'r gweithdrefnau ar gyfer rhoi gwybod am </w:t>
            </w:r>
            <w:r>
              <w:lastRenderedPageBreak/>
              <w:t>ddamweiniau a phwy sy'n gyfrifol am wneud yr adroddiad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CDA9C3" w14:textId="1A7EB0CD" w:rsidR="0076064F" w:rsidRPr="00E925ED" w:rsidRDefault="00F84138" w:rsidP="0054428F">
            <w:pPr>
              <w:pStyle w:val="Normalbulletlist"/>
            </w:pPr>
            <w:r>
              <w:lastRenderedPageBreak/>
              <w:t xml:space="preserve">Bydd dysgwyr yn gwybod am y canlynol: </w:t>
            </w:r>
          </w:p>
          <w:p w14:paraId="62A152DC" w14:textId="23712BF3" w:rsidR="0054428F" w:rsidRPr="0054428F" w:rsidRDefault="0054428F" w:rsidP="00060EC4">
            <w:pPr>
              <w:pStyle w:val="Normalbulletsublist"/>
            </w:pPr>
            <w:r>
              <w:lastRenderedPageBreak/>
              <w:t xml:space="preserve">pwy sy’n gyfrifol am lenwi ffurflenni damweiniau a byddant yn gallu adnabod swyddog cymorth cyntaf  </w:t>
            </w:r>
          </w:p>
          <w:p w14:paraId="34FAE45F" w14:textId="47AFE092" w:rsidR="00EC2E4E" w:rsidRPr="00EC2E4E" w:rsidRDefault="0054428F" w:rsidP="00060EC4">
            <w:pPr>
              <w:pStyle w:val="Normalbulletsublist"/>
            </w:pPr>
            <w:r>
              <w:t xml:space="preserve">y gyfraith o ran nifer y bobl y mae angen eu hyfforddi’n briodol ar gyfer cymorth cyntaf  </w:t>
            </w:r>
          </w:p>
          <w:p w14:paraId="3F04C561" w14:textId="41470BF8" w:rsidR="00EC2E4E" w:rsidRPr="00EC2E4E" w:rsidRDefault="0054428F" w:rsidP="00060EC4">
            <w:pPr>
              <w:pStyle w:val="Normalbulletsublist"/>
            </w:pPr>
            <w:r>
              <w:t xml:space="preserve">rolau a chyfrifoldebau mewn gwahanol safleoedd, gan gynnwys mewn annedd ddomestig, a sut mae cymryd cyfrifoldeb gweithredol dros iechyd, diogelwch a lles </w:t>
            </w:r>
          </w:p>
          <w:p w14:paraId="2CC31D95" w14:textId="5DA2F525" w:rsidR="00EC2E4E" w:rsidRDefault="00EC2E4E" w:rsidP="00060EC4">
            <w:pPr>
              <w:pStyle w:val="Normalbulletsublist"/>
            </w:pPr>
            <w:r>
              <w:t xml:space="preserve">y gyfraith o ran nifer y bobl y mae angen eu hyfforddi’n briodol ar gyfer cymorth cyntaf  </w:t>
            </w:r>
          </w:p>
          <w:p w14:paraId="7C056D50" w14:textId="4FA3744B" w:rsidR="00B719FC" w:rsidRDefault="00B719FC" w:rsidP="00060EC4">
            <w:pPr>
              <w:pStyle w:val="Normalbulletsublist"/>
            </w:pPr>
            <w:r>
              <w:t>y gyfraith o ran gweithio ar eich pen eich hun a gweithio allan o fan</w:t>
            </w:r>
          </w:p>
          <w:p w14:paraId="5609C1BE" w14:textId="44CA5CF6" w:rsidR="00EC2E4E" w:rsidRDefault="00EC2E4E" w:rsidP="00060EC4">
            <w:pPr>
              <w:pStyle w:val="Normalbulletsublist"/>
            </w:pPr>
            <w:r>
              <w:t xml:space="preserve">sut mae rhoi gwybod i’r Awdurdod Gweithredol Iechyd a Diogelwch o dan ofynion RIDDOR am ddigwyddiadau perthnasol  </w:t>
            </w:r>
          </w:p>
          <w:p w14:paraId="17467BAD" w14:textId="6FA82DE3" w:rsidR="006F762E" w:rsidRPr="00525EF1" w:rsidRDefault="00EC2E4E" w:rsidP="00060EC4">
            <w:pPr>
              <w:pStyle w:val="Normalbulletsublist"/>
            </w:pPr>
            <w:r>
              <w:t>sut mae defnyddio’r llyfr cofnodi ar gyfer mân ddamweiniau a damweiniau fu bron â digwydd, gan gynnwys y gweithdrefnau adolygu ac ail-werthuso sydd ar waith.</w:t>
            </w:r>
          </w:p>
        </w:tc>
      </w:tr>
      <w:tr w:rsidR="006F762E" w:rsidRPr="00D979B1" w14:paraId="526E87F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53D45C" w14:textId="14ADAB28" w:rsidR="006F762E" w:rsidRPr="00AE0F75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DCD05F" w14:textId="7E4054F2" w:rsidR="00EC2E4E" w:rsidRPr="00EC2E4E" w:rsidRDefault="00981E50" w:rsidP="00EC2E4E">
            <w:pPr>
              <w:pStyle w:val="Normalbulletlist"/>
            </w:pPr>
            <w:r>
              <w:t xml:space="preserve">Bydd dysgwyr yn gwybod sut mae dewis, defnyddio a chynnal a chadw PPE, Cyfarpar Diogelu Anadlol (RPE), Awyru Lleol sy’n Gwacau Mygdarth (LEV) yn gywir, gan gynnwys gwybodaeth am sbectolau effaith uchel, </w:t>
            </w:r>
            <w:proofErr w:type="spellStart"/>
            <w:r>
              <w:t>gogls</w:t>
            </w:r>
            <w:proofErr w:type="spellEnd"/>
            <w:r>
              <w:t>, het galed, siacedi llachar, amddiffynwyr clustiau, esgidiau diogelwch, masgiau llwch (gan gynnwys profion ffitio’r wyneb).</w:t>
            </w:r>
          </w:p>
          <w:p w14:paraId="77069427" w14:textId="225D10ED" w:rsidR="006F762E" w:rsidRPr="00CD50CC" w:rsidRDefault="00981E50" w:rsidP="00E23328">
            <w:pPr>
              <w:pStyle w:val="Normalbulletlist"/>
            </w:pPr>
            <w:r>
              <w:t>Bydd dysgwyr yn gwybod sut a phryd i ddefnyddio harneisiau diogelwch, menig priodol, bagiau atal cwympo, matiau cwympo, rhwydi a rheiliau gwarchod sgaffald, lloriau ffug.</w:t>
            </w:r>
          </w:p>
        </w:tc>
      </w:tr>
      <w:tr w:rsidR="006F762E" w:rsidRPr="00D979B1" w14:paraId="7E02DE9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1F594E" w14:textId="5FE48A58" w:rsidR="006F762E" w:rsidRPr="00926435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cydymffurfio ag arferion gweithio sy'n amgylcheddol gyfrifol er </w:t>
            </w:r>
            <w:r>
              <w:lastRenderedPageBreak/>
              <w:t>mwyn bodloni deddfwriaeth a chanllawiau swyddogol cyfredol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BB1C5EC" w14:textId="2172E22A" w:rsidR="006F762E" w:rsidRPr="00CD50CC" w:rsidRDefault="00981E50" w:rsidP="00525EF1">
            <w:pPr>
              <w:pStyle w:val="Normalbulletlist"/>
            </w:pPr>
            <w:r>
              <w:lastRenderedPageBreak/>
              <w:t xml:space="preserve">Bydd dysgwyr yn gwybod sut mae cydymffurfio ag arferion gweithio sy'n amgylcheddol gyfrifol er mwyn bodloni deddfwriaeth a chanllawiau swyddogol cyfredol, gan gynnwys y canlynol: Cynllun </w:t>
            </w:r>
            <w:r>
              <w:lastRenderedPageBreak/>
              <w:t>Rheoli Gwastraff Safle (SWMP); ailgylchu; ailddefnyddio; gwastraff wedi’i ddidoli.</w:t>
            </w:r>
          </w:p>
        </w:tc>
      </w:tr>
      <w:tr w:rsidR="006F762E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2AF1589A" w:rsidR="006F762E" w:rsidRPr="00CD50CC" w:rsidRDefault="00562C2D" w:rsidP="00EA40F2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0A6564" w14:textId="2F654898" w:rsidR="006F762E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Sut mae diogelu gwaith rhag difrod a phwrpas diogelu</w:t>
            </w:r>
          </w:p>
          <w:p w14:paraId="4FEDC3CA" w14:textId="1721EB91" w:rsidR="006F762E" w:rsidRPr="00CD50CC" w:rsidRDefault="006F762E" w:rsidP="00C97DC0">
            <w:pPr>
              <w:pStyle w:val="ParagraffRhestr"/>
              <w:adjustRightInd w:val="0"/>
              <w:spacing w:line="240" w:lineRule="auto"/>
              <w:ind w:left="229"/>
              <w:contextualSpacing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CC90D5F" w14:textId="094C2AE1" w:rsidR="008609EA" w:rsidRPr="008609EA" w:rsidRDefault="00981E50" w:rsidP="00EA40F2">
            <w:pPr>
              <w:pStyle w:val="Normalbulletlist"/>
            </w:pPr>
            <w:r>
              <w:t xml:space="preserve">Bydd dysgwyr yn gwybod sut mae diogelu gwaith rhag difrod o’r canlynol: </w:t>
            </w:r>
          </w:p>
          <w:p w14:paraId="6F066B7A" w14:textId="4F5B19EF" w:rsidR="00EF7313" w:rsidRPr="00EF7313" w:rsidRDefault="00EA40F2" w:rsidP="00060EC4">
            <w:pPr>
              <w:pStyle w:val="Normalbulletsublist"/>
            </w:pPr>
            <w:r>
              <w:t>gweithgareddau gwaith cyffredinol</w:t>
            </w:r>
          </w:p>
          <w:p w14:paraId="10AE287F" w14:textId="74FEB3E6" w:rsidR="00EF7313" w:rsidRPr="00EF7313" w:rsidRDefault="00EA40F2" w:rsidP="00060EC4">
            <w:pPr>
              <w:pStyle w:val="Normalbulletsublist"/>
            </w:pPr>
            <w:r>
              <w:t>galwedigaethau eraill</w:t>
            </w:r>
          </w:p>
          <w:p w14:paraId="460CB7F4" w14:textId="6A4862BB" w:rsidR="00EF7313" w:rsidRPr="00EF7313" w:rsidRDefault="00EA40F2" w:rsidP="00060EC4">
            <w:pPr>
              <w:pStyle w:val="Normalbulletsublist"/>
            </w:pPr>
            <w:r>
              <w:t>amodau’r tywydd (domestig yn ogystal ag ar y safle)</w:t>
            </w:r>
          </w:p>
          <w:p w14:paraId="3A3AAB10" w14:textId="1B5C7BF9" w:rsidR="00EF7313" w:rsidRPr="00EF7313" w:rsidRDefault="00EA40F2" w:rsidP="00060EC4">
            <w:pPr>
              <w:pStyle w:val="Normalbulletsublist"/>
            </w:pPr>
            <w:r>
              <w:t>adnoddau gorchuddio dros dro a allai fod yn angenrheidiol.</w:t>
            </w:r>
          </w:p>
          <w:p w14:paraId="3AECEB50" w14:textId="0882DF01" w:rsidR="00EA40F2" w:rsidRPr="00EA40F2" w:rsidRDefault="00040C1B" w:rsidP="00EA40F2">
            <w:pPr>
              <w:pStyle w:val="Normalbulletlist"/>
            </w:pPr>
            <w:r>
              <w:t xml:space="preserve">Bydd dysgwyr yn gwybod sut mae newid trefn y gwaith er mwyn diogelu’r gwaith yn well, gan fod yn ofalus a thalu sylw i fanylion wrth osod a defnyddio cynfasau llwch a </w:t>
            </w:r>
            <w:proofErr w:type="spellStart"/>
            <w:r>
              <w:t>diogelwyr</w:t>
            </w:r>
            <w:proofErr w:type="spellEnd"/>
            <w:r>
              <w:t xml:space="preserve"> deunyddiau. </w:t>
            </w:r>
          </w:p>
          <w:p w14:paraId="6F7D0461" w14:textId="0135FC64" w:rsidR="006F762E" w:rsidRPr="00525EF1" w:rsidRDefault="00981E50" w:rsidP="00525EF1">
            <w:pPr>
              <w:pStyle w:val="Normalbulletlist"/>
            </w:pPr>
            <w:r>
              <w:t xml:space="preserve">Bydd dysgwyr yn gwybod sut mae storio deunyddiau’n gywir cyn, yn ystod ac ar ôl y gwaith. </w:t>
            </w:r>
          </w:p>
        </w:tc>
      </w:tr>
      <w:tr w:rsidR="006F762E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F762E" w:rsidRPr="007F54BF" w:rsidRDefault="006F762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46A20AD4" w:rsidR="006F762E" w:rsidRPr="00BF5906" w:rsidRDefault="006F762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Pam y dylid gwaredu gwastraff yn ddiogel a sut mae gwneud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3C4901" w14:textId="05F62FD5" w:rsidR="00EA40F2" w:rsidRPr="00060EC4" w:rsidRDefault="00981E50" w:rsidP="002A1987">
            <w:pPr>
              <w:pStyle w:val="Normalbulletlist"/>
            </w:pPr>
            <w:r>
              <w:t>Bydd dysgwyr yn gwybod sut mae gwaredu gwastraff mewn ffordd ddiogel a chyfrifol, gan ddilyn gweithdrefnau’r sefydliad, gwybodaeth gwneuthurwyr, rheoliadau statudol a chanllawiau swyddogol yn unol â chyfrifoldebau amgylcheddol.</w:t>
            </w:r>
          </w:p>
          <w:p w14:paraId="6FD47DB1" w14:textId="441F919C" w:rsidR="006F762E" w:rsidRPr="00CD50CC" w:rsidRDefault="00981E50" w:rsidP="00060EC4">
            <w:pPr>
              <w:pStyle w:val="Normalbulletlist"/>
            </w:pPr>
            <w:r>
              <w:t xml:space="preserve">Bydd dysgwyr yn gwybod am y gwahanol ddulliau gwaredu gan gynnwys </w:t>
            </w:r>
            <w:proofErr w:type="spellStart"/>
            <w:r>
              <w:t>sgipiau</w:t>
            </w:r>
            <w:proofErr w:type="spellEnd"/>
            <w:r>
              <w:t xml:space="preserve"> dynodedig, ailgylchu, didoli gwastraff, man casglu gwastraff lleol, biodanwydd.</w:t>
            </w:r>
          </w:p>
        </w:tc>
      </w:tr>
      <w:tr w:rsidR="00230E5C" w:rsidRPr="00D979B1" w14:paraId="22F21C0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09A72D41" w:rsidR="00230E5C" w:rsidRPr="00852F90" w:rsidRDefault="00852F90" w:rsidP="00EA40F2">
            <w:pPr>
              <w:pStyle w:val="ParagraffRhestr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>Deall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559BCF" w14:textId="79C8B485" w:rsidR="00230E5C" w:rsidRDefault="0061604E" w:rsidP="00EA40F2">
            <w:pPr>
              <w:pStyle w:val="ParagraffRhestr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mae gwaith yn cael ei wneud er mwyn cyflawni’r rhaglen o fewn yr amser a drefnwyd a phwysigrwydd terfynau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CBD6C9" w14:textId="0987A2BC" w:rsidR="00EA40F2" w:rsidRDefault="00981E50" w:rsidP="00EA40F2">
            <w:pPr>
              <w:pStyle w:val="Normalbulletlist"/>
            </w:pPr>
            <w:r>
              <w:t xml:space="preserve">Bydd dysgwyr yn gwybod sut mae gweithgareddau gwaith, deunyddiau a llafur yn cael eu dyrannu i fodloni’r amserlen sy’n ofynnol o fewn y rhaglen, a pham mae angen cadw at y terfynau amser a nodwyd. </w:t>
            </w:r>
          </w:p>
          <w:p w14:paraId="7BF70C60" w14:textId="7CB768AA" w:rsidR="00EA40F2" w:rsidRPr="00EA40F2" w:rsidRDefault="00981E50" w:rsidP="00EA40F2">
            <w:pPr>
              <w:pStyle w:val="Normalbulletlist"/>
            </w:pPr>
            <w:r>
              <w:t xml:space="preserve">Bydd dysgwyr yn deall y mathau o amserlenni a thargedau cynhyrchiant, sut mae amseroedd yn cael eu hamcangyfrif a’r </w:t>
            </w:r>
            <w:r>
              <w:lastRenderedPageBreak/>
              <w:t>amgylchiadau a fydd yn effeithio ar y rhaglen waith, gan gynnwys y tywydd, faint o lafur sydd ar gael ac effeithiau trin a storio gwael gan achosi difrod i ddeunyddiau.</w:t>
            </w:r>
          </w:p>
          <w:p w14:paraId="75D59F2E" w14:textId="0A4B424A" w:rsidR="00EA40F2" w:rsidRPr="00EA40F2" w:rsidRDefault="00981E50" w:rsidP="00EA40F2">
            <w:pPr>
              <w:pStyle w:val="Normalbulletlist"/>
            </w:pPr>
            <w:r>
              <w:t>Bydd dysgwyr yn deall cymalau cosb, ffioedd cadw, rhaglen waith (ffurfiol ac anffurfiol).</w:t>
            </w:r>
          </w:p>
          <w:p w14:paraId="53B045F3" w14:textId="0A21EE55" w:rsidR="00230E5C" w:rsidRPr="00BC54FB" w:rsidRDefault="00981E50" w:rsidP="00525EF1">
            <w:pPr>
              <w:pStyle w:val="Normalbulletlist"/>
            </w:pPr>
            <w:r>
              <w:t xml:space="preserve">Bydd dysgwyr yn deall effeithiau cael enw gwael a’r goblygiadau o ran crefftau eraill. </w:t>
            </w:r>
          </w:p>
          <w:p w14:paraId="7A4CA176" w14:textId="77777777" w:rsidR="00640601" w:rsidRPr="002468C5" w:rsidRDefault="00640601" w:rsidP="00525EF1">
            <w:pPr>
              <w:pStyle w:val="Normalbulletlist"/>
            </w:pPr>
            <w:r>
              <w:t>Bydd dysgwyr yn gwybod sut mae delio â chwsmeriaid, yn enwedig wrth weithio mewn annedd ddomestig.</w:t>
            </w:r>
          </w:p>
          <w:p w14:paraId="6B47220C" w14:textId="395E8622" w:rsidR="00A43708" w:rsidRPr="00CD50CC" w:rsidRDefault="00A43708" w:rsidP="00A43708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65A09" w14:textId="77777777" w:rsidR="00AE2FCF" w:rsidRDefault="00AE2FCF">
      <w:pPr>
        <w:spacing w:before="0" w:after="0"/>
      </w:pPr>
      <w:r>
        <w:separator/>
      </w:r>
    </w:p>
  </w:endnote>
  <w:endnote w:type="continuationSeparator" w:id="0">
    <w:p w14:paraId="788470D9" w14:textId="77777777" w:rsidR="00AE2FCF" w:rsidRDefault="00AE2FCF">
      <w:pPr>
        <w:spacing w:before="0" w:after="0"/>
      </w:pPr>
      <w:r>
        <w:continuationSeparator/>
      </w:r>
    </w:p>
  </w:endnote>
  <w:endnote w:type="continuationNotice" w:id="1">
    <w:p w14:paraId="320A3724" w14:textId="77777777" w:rsidR="00AE2FCF" w:rsidRDefault="00AE2FC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EB4D" w14:textId="77777777" w:rsidR="00AE2FCF" w:rsidRDefault="00AE2FCF">
      <w:pPr>
        <w:spacing w:before="0" w:after="0"/>
      </w:pPr>
      <w:r>
        <w:separator/>
      </w:r>
    </w:p>
  </w:footnote>
  <w:footnote w:type="continuationSeparator" w:id="0">
    <w:p w14:paraId="221F12B8" w14:textId="77777777" w:rsidR="00AE2FCF" w:rsidRDefault="00AE2FCF">
      <w:pPr>
        <w:spacing w:before="0" w:after="0"/>
      </w:pPr>
      <w:r>
        <w:continuationSeparator/>
      </w:r>
    </w:p>
  </w:footnote>
  <w:footnote w:type="continuationNotice" w:id="1">
    <w:p w14:paraId="1F2C04AA" w14:textId="77777777" w:rsidR="00AE2FCF" w:rsidRDefault="00AE2FC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2"/>
      </w:rPr>
      <w:t>Dilyniant mewn</w:t>
    </w:r>
    <w:r>
      <w:rPr>
        <w:sz w:val="28"/>
        <w:szCs w:val="28"/>
      </w:rPr>
      <w:t xml:space="preserve"> </w:t>
    </w:r>
    <w:r>
      <w:rPr>
        <w:b/>
        <w:bCs/>
        <w:sz w:val="28"/>
        <w:szCs w:val="28"/>
      </w:rPr>
      <w:t>Adeiladu (Lefel 2)</w:t>
    </w:r>
  </w:p>
  <w:p w14:paraId="1A87A6D0" w14:textId="06AD117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232B1D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212: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C06C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E0E3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E07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RhestrRhifau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A2C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A3B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32F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6ED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RhestrRhifau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0E2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CE31A75"/>
    <w:multiLevelType w:val="hybridMultilevel"/>
    <w:tmpl w:val="0F5CB93A"/>
    <w:lvl w:ilvl="0" w:tplc="743698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F393563"/>
    <w:multiLevelType w:val="hybridMultilevel"/>
    <w:tmpl w:val="D334FB48"/>
    <w:lvl w:ilvl="0" w:tplc="ABF6869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9668A36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39D0481C">
      <w:numFmt w:val="bullet"/>
      <w:lvlText w:val="-"/>
      <w:lvlJc w:val="left"/>
      <w:pPr>
        <w:ind w:left="778" w:hanging="360"/>
      </w:pPr>
      <w:rPr>
        <w:rFonts w:ascii="Calibri" w:eastAsia="Calibri" w:hAnsi="Calibri" w:cs="Calibri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34B540E9"/>
    <w:multiLevelType w:val="hybridMultilevel"/>
    <w:tmpl w:val="DFD45D06"/>
    <w:lvl w:ilvl="0" w:tplc="0578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729E9"/>
    <w:multiLevelType w:val="hybridMultilevel"/>
    <w:tmpl w:val="62967400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96942C9"/>
    <w:multiLevelType w:val="hybridMultilevel"/>
    <w:tmpl w:val="7A1E6C66"/>
    <w:lvl w:ilvl="0" w:tplc="DEA6FF3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 w15:restartNumberingAfterBreak="0">
    <w:nsid w:val="3A006481"/>
    <w:multiLevelType w:val="hybridMultilevel"/>
    <w:tmpl w:val="E3221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15CCA"/>
    <w:multiLevelType w:val="hybridMultilevel"/>
    <w:tmpl w:val="8752E6D4"/>
    <w:lvl w:ilvl="0" w:tplc="F08A75E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C46DB4"/>
    <w:multiLevelType w:val="hybridMultilevel"/>
    <w:tmpl w:val="86B07C2A"/>
    <w:lvl w:ilvl="0" w:tplc="F48E9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9E1551F"/>
    <w:multiLevelType w:val="hybridMultilevel"/>
    <w:tmpl w:val="A636E50A"/>
    <w:lvl w:ilvl="0" w:tplc="39BE799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2128703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DF734C4"/>
    <w:multiLevelType w:val="hybridMultilevel"/>
    <w:tmpl w:val="E196C484"/>
    <w:lvl w:ilvl="0" w:tplc="A364C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2"/>
  </w:num>
  <w:num w:numId="4">
    <w:abstractNumId w:val="8"/>
  </w:num>
  <w:num w:numId="5">
    <w:abstractNumId w:val="3"/>
  </w:num>
  <w:num w:numId="6">
    <w:abstractNumId w:val="26"/>
  </w:num>
  <w:num w:numId="7">
    <w:abstractNumId w:val="17"/>
  </w:num>
  <w:num w:numId="8">
    <w:abstractNumId w:val="11"/>
  </w:num>
  <w:num w:numId="9">
    <w:abstractNumId w:val="25"/>
  </w:num>
  <w:num w:numId="10">
    <w:abstractNumId w:val="20"/>
  </w:num>
  <w:num w:numId="11">
    <w:abstractNumId w:val="23"/>
  </w:num>
  <w:num w:numId="12">
    <w:abstractNumId w:val="13"/>
  </w:num>
  <w:num w:numId="13">
    <w:abstractNumId w:val="19"/>
  </w:num>
  <w:num w:numId="14">
    <w:abstractNumId w:val="10"/>
  </w:num>
  <w:num w:numId="15">
    <w:abstractNumId w:val="29"/>
  </w:num>
  <w:num w:numId="16">
    <w:abstractNumId w:val="18"/>
  </w:num>
  <w:num w:numId="17">
    <w:abstractNumId w:val="28"/>
  </w:num>
  <w:num w:numId="18">
    <w:abstractNumId w:val="24"/>
  </w:num>
  <w:num w:numId="19">
    <w:abstractNumId w:val="12"/>
  </w:num>
  <w:num w:numId="20">
    <w:abstractNumId w:val="16"/>
  </w:num>
  <w:num w:numId="21">
    <w:abstractNumId w:val="21"/>
  </w:num>
  <w:num w:numId="22">
    <w:abstractNumId w:val="27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0AD3"/>
    <w:rsid w:val="00024437"/>
    <w:rsid w:val="0002471D"/>
    <w:rsid w:val="0003153E"/>
    <w:rsid w:val="00032E49"/>
    <w:rsid w:val="000355F3"/>
    <w:rsid w:val="00040C1B"/>
    <w:rsid w:val="00041DCF"/>
    <w:rsid w:val="000462D0"/>
    <w:rsid w:val="00052D44"/>
    <w:rsid w:val="00060EC4"/>
    <w:rsid w:val="00061389"/>
    <w:rsid w:val="000625C1"/>
    <w:rsid w:val="0007009E"/>
    <w:rsid w:val="00070A7C"/>
    <w:rsid w:val="0007441E"/>
    <w:rsid w:val="00077B8F"/>
    <w:rsid w:val="00086CF1"/>
    <w:rsid w:val="0008737F"/>
    <w:rsid w:val="000911C4"/>
    <w:rsid w:val="000A7B23"/>
    <w:rsid w:val="000B475D"/>
    <w:rsid w:val="000C3EBB"/>
    <w:rsid w:val="000D5676"/>
    <w:rsid w:val="000E3286"/>
    <w:rsid w:val="000E7C90"/>
    <w:rsid w:val="000F1280"/>
    <w:rsid w:val="000F364F"/>
    <w:rsid w:val="000F6F2A"/>
    <w:rsid w:val="00100DE4"/>
    <w:rsid w:val="00102645"/>
    <w:rsid w:val="00106031"/>
    <w:rsid w:val="00106685"/>
    <w:rsid w:val="00110B0A"/>
    <w:rsid w:val="00115015"/>
    <w:rsid w:val="00121C8F"/>
    <w:rsid w:val="00125658"/>
    <w:rsid w:val="00126511"/>
    <w:rsid w:val="00134136"/>
    <w:rsid w:val="00134922"/>
    <w:rsid w:val="00143276"/>
    <w:rsid w:val="00153EEC"/>
    <w:rsid w:val="001621BB"/>
    <w:rsid w:val="001622A0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7852"/>
    <w:rsid w:val="001A7C68"/>
    <w:rsid w:val="001B4FD3"/>
    <w:rsid w:val="001C0CA5"/>
    <w:rsid w:val="001C6F0E"/>
    <w:rsid w:val="001D2C30"/>
    <w:rsid w:val="001E04AC"/>
    <w:rsid w:val="001E1554"/>
    <w:rsid w:val="001E6D3F"/>
    <w:rsid w:val="001E7721"/>
    <w:rsid w:val="001F5E02"/>
    <w:rsid w:val="001F60AD"/>
    <w:rsid w:val="001F7674"/>
    <w:rsid w:val="00205182"/>
    <w:rsid w:val="002110F7"/>
    <w:rsid w:val="002137A0"/>
    <w:rsid w:val="00230E5C"/>
    <w:rsid w:val="00233CD4"/>
    <w:rsid w:val="002468C5"/>
    <w:rsid w:val="00251853"/>
    <w:rsid w:val="00260ABB"/>
    <w:rsid w:val="00261DD8"/>
    <w:rsid w:val="00273525"/>
    <w:rsid w:val="0028055D"/>
    <w:rsid w:val="002875B4"/>
    <w:rsid w:val="002A1987"/>
    <w:rsid w:val="002A24D9"/>
    <w:rsid w:val="002A4F81"/>
    <w:rsid w:val="002D44D0"/>
    <w:rsid w:val="002D6B63"/>
    <w:rsid w:val="002E4B7C"/>
    <w:rsid w:val="002E4EA0"/>
    <w:rsid w:val="002F145D"/>
    <w:rsid w:val="002F2A70"/>
    <w:rsid w:val="002F6C40"/>
    <w:rsid w:val="00300741"/>
    <w:rsid w:val="00304F0C"/>
    <w:rsid w:val="00312073"/>
    <w:rsid w:val="00321A9E"/>
    <w:rsid w:val="00333643"/>
    <w:rsid w:val="00337DF5"/>
    <w:rsid w:val="0034048D"/>
    <w:rsid w:val="00342F12"/>
    <w:rsid w:val="003553A4"/>
    <w:rsid w:val="003729D3"/>
    <w:rsid w:val="00372FB3"/>
    <w:rsid w:val="00376CB6"/>
    <w:rsid w:val="00380002"/>
    <w:rsid w:val="00382EB1"/>
    <w:rsid w:val="003878C5"/>
    <w:rsid w:val="00395542"/>
    <w:rsid w:val="00396404"/>
    <w:rsid w:val="003C415E"/>
    <w:rsid w:val="003C6762"/>
    <w:rsid w:val="003E4B76"/>
    <w:rsid w:val="003E67C7"/>
    <w:rsid w:val="003E7440"/>
    <w:rsid w:val="003F100A"/>
    <w:rsid w:val="003F5ECE"/>
    <w:rsid w:val="003F7D8A"/>
    <w:rsid w:val="004057E7"/>
    <w:rsid w:val="0041306B"/>
    <w:rsid w:val="0041389A"/>
    <w:rsid w:val="004216DC"/>
    <w:rsid w:val="0042300A"/>
    <w:rsid w:val="00430113"/>
    <w:rsid w:val="00434537"/>
    <w:rsid w:val="00436F14"/>
    <w:rsid w:val="0045095C"/>
    <w:rsid w:val="004523E2"/>
    <w:rsid w:val="004546B2"/>
    <w:rsid w:val="00457D67"/>
    <w:rsid w:val="0046039E"/>
    <w:rsid w:val="00464277"/>
    <w:rsid w:val="00466297"/>
    <w:rsid w:val="004731A0"/>
    <w:rsid w:val="004762D1"/>
    <w:rsid w:val="00482419"/>
    <w:rsid w:val="004868C1"/>
    <w:rsid w:val="00486C0B"/>
    <w:rsid w:val="00487158"/>
    <w:rsid w:val="00492A16"/>
    <w:rsid w:val="004A2268"/>
    <w:rsid w:val="004A4D87"/>
    <w:rsid w:val="004B6E5D"/>
    <w:rsid w:val="004C6ADC"/>
    <w:rsid w:val="004C705A"/>
    <w:rsid w:val="004D0BA5"/>
    <w:rsid w:val="004E191A"/>
    <w:rsid w:val="004E221F"/>
    <w:rsid w:val="004E2871"/>
    <w:rsid w:val="004E59F8"/>
    <w:rsid w:val="004E69B5"/>
    <w:rsid w:val="004F3C52"/>
    <w:rsid w:val="005050D7"/>
    <w:rsid w:val="0050652F"/>
    <w:rsid w:val="00525EF1"/>
    <w:rsid w:val="005329BB"/>
    <w:rsid w:val="00537A63"/>
    <w:rsid w:val="0054428F"/>
    <w:rsid w:val="005457EC"/>
    <w:rsid w:val="005518E5"/>
    <w:rsid w:val="00552896"/>
    <w:rsid w:val="00562C2D"/>
    <w:rsid w:val="00564AED"/>
    <w:rsid w:val="0056783E"/>
    <w:rsid w:val="00570E11"/>
    <w:rsid w:val="00577ED7"/>
    <w:rsid w:val="0058088A"/>
    <w:rsid w:val="00582A25"/>
    <w:rsid w:val="00582E73"/>
    <w:rsid w:val="0058594B"/>
    <w:rsid w:val="005910D5"/>
    <w:rsid w:val="005A503B"/>
    <w:rsid w:val="005A7A96"/>
    <w:rsid w:val="005C0227"/>
    <w:rsid w:val="005C1D8F"/>
    <w:rsid w:val="005D02EE"/>
    <w:rsid w:val="005D4B71"/>
    <w:rsid w:val="005F06D9"/>
    <w:rsid w:val="00613AB3"/>
    <w:rsid w:val="0061455B"/>
    <w:rsid w:val="0061604E"/>
    <w:rsid w:val="006203BD"/>
    <w:rsid w:val="00626FFC"/>
    <w:rsid w:val="00627B6B"/>
    <w:rsid w:val="00635630"/>
    <w:rsid w:val="006363AF"/>
    <w:rsid w:val="00640601"/>
    <w:rsid w:val="00641F5D"/>
    <w:rsid w:val="00643052"/>
    <w:rsid w:val="00656A7F"/>
    <w:rsid w:val="00657E0F"/>
    <w:rsid w:val="00671E9F"/>
    <w:rsid w:val="00672BED"/>
    <w:rsid w:val="00673A88"/>
    <w:rsid w:val="0067586F"/>
    <w:rsid w:val="00690CAB"/>
    <w:rsid w:val="0069178F"/>
    <w:rsid w:val="00692A64"/>
    <w:rsid w:val="006941E6"/>
    <w:rsid w:val="006A3068"/>
    <w:rsid w:val="006B23A9"/>
    <w:rsid w:val="006C0843"/>
    <w:rsid w:val="006D08FE"/>
    <w:rsid w:val="006D1BC5"/>
    <w:rsid w:val="006D4994"/>
    <w:rsid w:val="006E67F0"/>
    <w:rsid w:val="006E7C99"/>
    <w:rsid w:val="006F762E"/>
    <w:rsid w:val="0070001F"/>
    <w:rsid w:val="00704B0B"/>
    <w:rsid w:val="007111AD"/>
    <w:rsid w:val="0071471E"/>
    <w:rsid w:val="00715647"/>
    <w:rsid w:val="00722FDA"/>
    <w:rsid w:val="00725FD9"/>
    <w:rsid w:val="00731399"/>
    <w:rsid w:val="007317D2"/>
    <w:rsid w:val="00733A39"/>
    <w:rsid w:val="00742490"/>
    <w:rsid w:val="00747084"/>
    <w:rsid w:val="00756D14"/>
    <w:rsid w:val="0076064F"/>
    <w:rsid w:val="00760E4E"/>
    <w:rsid w:val="00772D58"/>
    <w:rsid w:val="00777D67"/>
    <w:rsid w:val="00782F85"/>
    <w:rsid w:val="00786E7D"/>
    <w:rsid w:val="0079118A"/>
    <w:rsid w:val="00796E27"/>
    <w:rsid w:val="007A5093"/>
    <w:rsid w:val="007A693A"/>
    <w:rsid w:val="007A6A1D"/>
    <w:rsid w:val="007B009D"/>
    <w:rsid w:val="007B50CD"/>
    <w:rsid w:val="007C1B52"/>
    <w:rsid w:val="007C49F1"/>
    <w:rsid w:val="007D0058"/>
    <w:rsid w:val="007D6FEB"/>
    <w:rsid w:val="007F54BF"/>
    <w:rsid w:val="008005D4"/>
    <w:rsid w:val="00801706"/>
    <w:rsid w:val="00802D8E"/>
    <w:rsid w:val="00812680"/>
    <w:rsid w:val="00813F3C"/>
    <w:rsid w:val="00826E64"/>
    <w:rsid w:val="008355F8"/>
    <w:rsid w:val="00847CC6"/>
    <w:rsid w:val="00850266"/>
    <w:rsid w:val="00850408"/>
    <w:rsid w:val="00852F90"/>
    <w:rsid w:val="008609EA"/>
    <w:rsid w:val="008655C0"/>
    <w:rsid w:val="0087015D"/>
    <w:rsid w:val="00876735"/>
    <w:rsid w:val="0088056C"/>
    <w:rsid w:val="00880EAA"/>
    <w:rsid w:val="00882D7D"/>
    <w:rsid w:val="00885ED3"/>
    <w:rsid w:val="00886270"/>
    <w:rsid w:val="0088670A"/>
    <w:rsid w:val="00896271"/>
    <w:rsid w:val="008A00F9"/>
    <w:rsid w:val="008A01E4"/>
    <w:rsid w:val="008A4FC4"/>
    <w:rsid w:val="008B030B"/>
    <w:rsid w:val="008B68E7"/>
    <w:rsid w:val="008C1171"/>
    <w:rsid w:val="008C49CA"/>
    <w:rsid w:val="008C53BC"/>
    <w:rsid w:val="008D37DF"/>
    <w:rsid w:val="008E6425"/>
    <w:rsid w:val="008F01B5"/>
    <w:rsid w:val="008F2236"/>
    <w:rsid w:val="008F56BB"/>
    <w:rsid w:val="008F76B6"/>
    <w:rsid w:val="00901C02"/>
    <w:rsid w:val="009031A4"/>
    <w:rsid w:val="00905483"/>
    <w:rsid w:val="00905996"/>
    <w:rsid w:val="00926435"/>
    <w:rsid w:val="00940170"/>
    <w:rsid w:val="0094112A"/>
    <w:rsid w:val="00941947"/>
    <w:rsid w:val="00954ECD"/>
    <w:rsid w:val="00962BD3"/>
    <w:rsid w:val="00967057"/>
    <w:rsid w:val="009674DC"/>
    <w:rsid w:val="00972FF3"/>
    <w:rsid w:val="009802A8"/>
    <w:rsid w:val="00981E50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56CC"/>
    <w:rsid w:val="009E0787"/>
    <w:rsid w:val="009E72CF"/>
    <w:rsid w:val="009F1EE2"/>
    <w:rsid w:val="009F1F2C"/>
    <w:rsid w:val="00A059C5"/>
    <w:rsid w:val="00A1277C"/>
    <w:rsid w:val="00A1497A"/>
    <w:rsid w:val="00A16377"/>
    <w:rsid w:val="00A17F9B"/>
    <w:rsid w:val="00A212A2"/>
    <w:rsid w:val="00A250BF"/>
    <w:rsid w:val="00A40BC3"/>
    <w:rsid w:val="00A43708"/>
    <w:rsid w:val="00A43FB4"/>
    <w:rsid w:val="00A52996"/>
    <w:rsid w:val="00A616D2"/>
    <w:rsid w:val="00A63F2B"/>
    <w:rsid w:val="00A64B48"/>
    <w:rsid w:val="00A65EC3"/>
    <w:rsid w:val="00A70489"/>
    <w:rsid w:val="00A70F94"/>
    <w:rsid w:val="00A71800"/>
    <w:rsid w:val="00A945F5"/>
    <w:rsid w:val="00AA08E6"/>
    <w:rsid w:val="00AA527C"/>
    <w:rsid w:val="00AA66B6"/>
    <w:rsid w:val="00AB2F66"/>
    <w:rsid w:val="00AB366F"/>
    <w:rsid w:val="00AC3BFD"/>
    <w:rsid w:val="00AC59B7"/>
    <w:rsid w:val="00AC5A90"/>
    <w:rsid w:val="00AC6E39"/>
    <w:rsid w:val="00AD06EC"/>
    <w:rsid w:val="00AD5974"/>
    <w:rsid w:val="00AE000B"/>
    <w:rsid w:val="00AE0F75"/>
    <w:rsid w:val="00AE278D"/>
    <w:rsid w:val="00AE2FCF"/>
    <w:rsid w:val="00AE64CD"/>
    <w:rsid w:val="00AF03BF"/>
    <w:rsid w:val="00AF1869"/>
    <w:rsid w:val="00AF252C"/>
    <w:rsid w:val="00AF7A4F"/>
    <w:rsid w:val="00B016BE"/>
    <w:rsid w:val="00B0190D"/>
    <w:rsid w:val="00B0443A"/>
    <w:rsid w:val="00B12C58"/>
    <w:rsid w:val="00B13391"/>
    <w:rsid w:val="00B25B99"/>
    <w:rsid w:val="00B27B25"/>
    <w:rsid w:val="00B422A1"/>
    <w:rsid w:val="00B42B73"/>
    <w:rsid w:val="00B45693"/>
    <w:rsid w:val="00B503EA"/>
    <w:rsid w:val="00B5083C"/>
    <w:rsid w:val="00B66ECB"/>
    <w:rsid w:val="00B719FC"/>
    <w:rsid w:val="00B74F03"/>
    <w:rsid w:val="00B752E1"/>
    <w:rsid w:val="00B76912"/>
    <w:rsid w:val="00B772B2"/>
    <w:rsid w:val="00B87FDA"/>
    <w:rsid w:val="00B91A4C"/>
    <w:rsid w:val="00B93185"/>
    <w:rsid w:val="00B966B9"/>
    <w:rsid w:val="00B9709E"/>
    <w:rsid w:val="00BC005D"/>
    <w:rsid w:val="00BC28B4"/>
    <w:rsid w:val="00BC2FA0"/>
    <w:rsid w:val="00BC54FB"/>
    <w:rsid w:val="00BC7960"/>
    <w:rsid w:val="00BD12F2"/>
    <w:rsid w:val="00BD1647"/>
    <w:rsid w:val="00BD2993"/>
    <w:rsid w:val="00BD5BAD"/>
    <w:rsid w:val="00BE0E94"/>
    <w:rsid w:val="00BE2C7E"/>
    <w:rsid w:val="00BF0213"/>
    <w:rsid w:val="00BF0FE3"/>
    <w:rsid w:val="00BF10D0"/>
    <w:rsid w:val="00BF20EA"/>
    <w:rsid w:val="00BF3408"/>
    <w:rsid w:val="00BF5906"/>
    <w:rsid w:val="00BF7512"/>
    <w:rsid w:val="00C269AC"/>
    <w:rsid w:val="00C315C0"/>
    <w:rsid w:val="00C32A37"/>
    <w:rsid w:val="00C344FE"/>
    <w:rsid w:val="00C573C2"/>
    <w:rsid w:val="00C629D1"/>
    <w:rsid w:val="00C63383"/>
    <w:rsid w:val="00C6602A"/>
    <w:rsid w:val="00C73314"/>
    <w:rsid w:val="00C75BD5"/>
    <w:rsid w:val="00C85C02"/>
    <w:rsid w:val="00C97DC0"/>
    <w:rsid w:val="00CA4288"/>
    <w:rsid w:val="00CA5003"/>
    <w:rsid w:val="00CA57DB"/>
    <w:rsid w:val="00CB165E"/>
    <w:rsid w:val="00CC1C2A"/>
    <w:rsid w:val="00CD50CC"/>
    <w:rsid w:val="00CE60F0"/>
    <w:rsid w:val="00CF7F32"/>
    <w:rsid w:val="00D04BE6"/>
    <w:rsid w:val="00D04E77"/>
    <w:rsid w:val="00D129BC"/>
    <w:rsid w:val="00D149D9"/>
    <w:rsid w:val="00D14B60"/>
    <w:rsid w:val="00D16D46"/>
    <w:rsid w:val="00D22E57"/>
    <w:rsid w:val="00D30D94"/>
    <w:rsid w:val="00D33FC2"/>
    <w:rsid w:val="00D36D91"/>
    <w:rsid w:val="00D412AA"/>
    <w:rsid w:val="00D44A96"/>
    <w:rsid w:val="00D45288"/>
    <w:rsid w:val="00D536ED"/>
    <w:rsid w:val="00D7542B"/>
    <w:rsid w:val="00D76422"/>
    <w:rsid w:val="00D8348D"/>
    <w:rsid w:val="00D92020"/>
    <w:rsid w:val="00D93C78"/>
    <w:rsid w:val="00D979B1"/>
    <w:rsid w:val="00DA1D36"/>
    <w:rsid w:val="00DA2BDF"/>
    <w:rsid w:val="00DB1F07"/>
    <w:rsid w:val="00DB3BF5"/>
    <w:rsid w:val="00DC06A5"/>
    <w:rsid w:val="00DC1419"/>
    <w:rsid w:val="00DC3052"/>
    <w:rsid w:val="00DC642B"/>
    <w:rsid w:val="00DD0E1D"/>
    <w:rsid w:val="00DD4F81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72E4"/>
    <w:rsid w:val="00E20493"/>
    <w:rsid w:val="00E22DEE"/>
    <w:rsid w:val="00E23328"/>
    <w:rsid w:val="00E2563B"/>
    <w:rsid w:val="00E26CCE"/>
    <w:rsid w:val="00E2729E"/>
    <w:rsid w:val="00E3159F"/>
    <w:rsid w:val="00E37955"/>
    <w:rsid w:val="00E546FE"/>
    <w:rsid w:val="00E56577"/>
    <w:rsid w:val="00E6073F"/>
    <w:rsid w:val="00E65612"/>
    <w:rsid w:val="00E766BE"/>
    <w:rsid w:val="00E77982"/>
    <w:rsid w:val="00E925ED"/>
    <w:rsid w:val="00E92EFF"/>
    <w:rsid w:val="00E95CA3"/>
    <w:rsid w:val="00EA40F2"/>
    <w:rsid w:val="00EA4ADD"/>
    <w:rsid w:val="00EB79FD"/>
    <w:rsid w:val="00EC2E4E"/>
    <w:rsid w:val="00EC6008"/>
    <w:rsid w:val="00EC709D"/>
    <w:rsid w:val="00EF33B4"/>
    <w:rsid w:val="00EF6580"/>
    <w:rsid w:val="00EF7313"/>
    <w:rsid w:val="00F03C3F"/>
    <w:rsid w:val="00F05484"/>
    <w:rsid w:val="00F05684"/>
    <w:rsid w:val="00F160AE"/>
    <w:rsid w:val="00F23F4A"/>
    <w:rsid w:val="00F30345"/>
    <w:rsid w:val="00F31E92"/>
    <w:rsid w:val="00F33FA0"/>
    <w:rsid w:val="00F36243"/>
    <w:rsid w:val="00F3662F"/>
    <w:rsid w:val="00F418EF"/>
    <w:rsid w:val="00F42FC2"/>
    <w:rsid w:val="00F51D77"/>
    <w:rsid w:val="00F52A5C"/>
    <w:rsid w:val="00F6075A"/>
    <w:rsid w:val="00F64504"/>
    <w:rsid w:val="00F6456E"/>
    <w:rsid w:val="00F76459"/>
    <w:rsid w:val="00F808F9"/>
    <w:rsid w:val="00F826D7"/>
    <w:rsid w:val="00F84138"/>
    <w:rsid w:val="00F92066"/>
    <w:rsid w:val="00F93080"/>
    <w:rsid w:val="00FA1C3D"/>
    <w:rsid w:val="00FA2636"/>
    <w:rsid w:val="00FC1287"/>
    <w:rsid w:val="00FC7A67"/>
    <w:rsid w:val="00FD176D"/>
    <w:rsid w:val="00FD198C"/>
    <w:rsid w:val="00FE009B"/>
    <w:rsid w:val="00FE1E19"/>
    <w:rsid w:val="00FE5F1E"/>
    <w:rsid w:val="00FF0827"/>
    <w:rsid w:val="00FF0DBE"/>
    <w:rsid w:val="00FF51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0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character" w:customStyle="1" w:styleId="Pennawd3Nod">
    <w:name w:val="Pennawd 3 Nod"/>
    <w:link w:val="Pennawd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Pennawd2Nod">
    <w:name w:val="Pennawd 2 Nod"/>
    <w:link w:val="Pennawd2"/>
    <w:uiPriority w:val="9"/>
    <w:rsid w:val="001A7C68"/>
    <w:rPr>
      <w:rFonts w:ascii="Arial" w:eastAsia="Times New Roman" w:hAnsi="Arial"/>
      <w:b/>
      <w:bCs/>
      <w:sz w:val="26"/>
    </w:rPr>
  </w:style>
  <w:style w:type="character" w:styleId="Hyperddolen">
    <w:name w:val="Hyperlink"/>
    <w:rsid w:val="00E26CCE"/>
    <w:rPr>
      <w:color w:val="0000FF"/>
      <w:u w:val="single"/>
    </w:rPr>
  </w:style>
  <w:style w:type="character" w:styleId="HyperddolenWediiDilyn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Pennyn">
    <w:name w:val="header"/>
    <w:basedOn w:val="Normal"/>
    <w:link w:val="PennynNod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E92EFF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TestunmewnSwigenNod">
    <w:name w:val="Testun mewn Swigen Nod"/>
    <w:link w:val="TestunmewnSwigen"/>
    <w:rsid w:val="00EF6580"/>
    <w:rPr>
      <w:rFonts w:ascii="Lucida Grande" w:hAnsi="Lucida Grande"/>
      <w:sz w:val="18"/>
      <w:szCs w:val="18"/>
    </w:rPr>
  </w:style>
  <w:style w:type="character" w:styleId="CyfeirnodSylw">
    <w:name w:val="annotation reference"/>
    <w:basedOn w:val="FfontParagraffDdiofyn"/>
    <w:semiHidden/>
    <w:unhideWhenUsed/>
    <w:rsid w:val="00786E7D"/>
    <w:rPr>
      <w:sz w:val="16"/>
      <w:szCs w:val="16"/>
    </w:rPr>
  </w:style>
  <w:style w:type="paragraph" w:styleId="TestunSylw">
    <w:name w:val="annotation text"/>
    <w:basedOn w:val="Normal"/>
    <w:link w:val="TestunSylwNod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rsid w:val="00786E7D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786E7D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786E7D"/>
    <w:rPr>
      <w:rFonts w:ascii="Arial" w:hAnsi="Arial"/>
      <w:b/>
      <w:bCs/>
      <w:lang w:eastAsia="en-US"/>
    </w:rPr>
  </w:style>
  <w:style w:type="paragraph" w:styleId="RhestrRhifau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ParagraffRhestr">
    <w:name w:val="List Paragraph"/>
    <w:basedOn w:val="Normal"/>
    <w:link w:val="ParagraffRhestrNod"/>
    <w:uiPriority w:val="34"/>
    <w:qFormat/>
    <w:rsid w:val="00464277"/>
    <w:pPr>
      <w:ind w:left="567"/>
      <w:contextualSpacing/>
    </w:pPr>
  </w:style>
  <w:style w:type="paragraph" w:styleId="RhestrRhifau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DimRhestr"/>
    <w:semiHidden/>
    <w:unhideWhenUsed/>
    <w:rsid w:val="00B752E1"/>
    <w:pPr>
      <w:numPr>
        <w:numId w:val="6"/>
      </w:numPr>
    </w:pPr>
  </w:style>
  <w:style w:type="table" w:styleId="GridTabl">
    <w:name w:val="Table Grid"/>
    <w:basedOn w:val="Tabl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Golau">
    <w:name w:val="Grid Table Light"/>
    <w:basedOn w:val="Tabl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nhebeiDdatrys">
    <w:name w:val="Unresolved Mention"/>
    <w:basedOn w:val="FfontParagraffDdiofyn"/>
    <w:uiPriority w:val="99"/>
    <w:semiHidden/>
    <w:unhideWhenUsed/>
    <w:rsid w:val="00802D8E"/>
    <w:rPr>
      <w:color w:val="605E5C"/>
      <w:shd w:val="clear" w:color="auto" w:fill="E1DFDD"/>
    </w:rPr>
  </w:style>
  <w:style w:type="character" w:customStyle="1" w:styleId="ParagraffRhestrNod">
    <w:name w:val="Paragraff Rhestr Nod"/>
    <w:basedOn w:val="FfontParagraffDdiofyn"/>
    <w:link w:val="ParagraffRhestr"/>
    <w:uiPriority w:val="34"/>
    <w:locked/>
    <w:rsid w:val="00F826D7"/>
    <w:rPr>
      <w:rFonts w:ascii="Arial" w:hAnsi="Arial"/>
      <w:sz w:val="22"/>
      <w:szCs w:val="24"/>
      <w:lang w:eastAsia="en-US"/>
    </w:rPr>
  </w:style>
  <w:style w:type="character" w:customStyle="1" w:styleId="cf01">
    <w:name w:val="cf01"/>
    <w:basedOn w:val="FfontParagraffDdiofyn"/>
    <w:rsid w:val="004E69B5"/>
    <w:rPr>
      <w:rFonts w:ascii="Segoe UI" w:hAnsi="Segoe UI" w:cs="Segoe UI" w:hint="default"/>
      <w:sz w:val="18"/>
      <w:szCs w:val="18"/>
    </w:rPr>
  </w:style>
  <w:style w:type="character" w:styleId="NewidynHTML">
    <w:name w:val="HTML Variable"/>
    <w:basedOn w:val="FfontParagraffDdiofyn"/>
    <w:unhideWhenUsed/>
    <w:rsid w:val="00E072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6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dw.llyw.cymru/" TargetMode="External"/><Relationship Id="rId18" Type="http://schemas.openxmlformats.org/officeDocument/2006/relationships/hyperlink" Target="http://Structure:%20Approved%20Document%20A%20-%20GOV.UK%20(www.gov.uk)" TargetMode="External"/><Relationship Id="rId26" Type="http://schemas.openxmlformats.org/officeDocument/2006/relationships/hyperlink" Target="https://www.gov.uk/government/publications/material-and-workmanship-approved-document-7" TargetMode="External"/><Relationship Id="rId39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government/publications/fire-safety-approved-document-b" TargetMode="External"/><Relationship Id="rId34" Type="http://schemas.openxmlformats.org/officeDocument/2006/relationships/hyperlink" Target="https://www.hse.gov.uk/construction/cdm/2015/index.ht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bwf.org.uk/" TargetMode="External"/><Relationship Id="rId25" Type="http://schemas.openxmlformats.org/officeDocument/2006/relationships/hyperlink" Target="https://www.gov.uk/government/publications/access-to-and-use-of-buildings-approved-document-m" TargetMode="External"/><Relationship Id="rId33" Type="http://schemas.openxmlformats.org/officeDocument/2006/relationships/hyperlink" Target="https://www.hse.gov.uk/woodworking/index.htm" TargetMode="External"/><Relationship Id="rId38" Type="http://schemas.openxmlformats.org/officeDocument/2006/relationships/hyperlink" Target="https://www.hse.gov.uk/work-equipment-machinery/loler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hbc-standards.co.uk/" TargetMode="External"/><Relationship Id="rId20" Type="http://schemas.openxmlformats.org/officeDocument/2006/relationships/hyperlink" Target="https://www.gov.uk/government/publications/fire-safety-approved-document-b" TargetMode="External"/><Relationship Id="rId29" Type="http://schemas.openxmlformats.org/officeDocument/2006/relationships/hyperlink" Target="https://www.legislation.gov.uk/uksi/2005/1643/mad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gov.uk/government/publications/access-to-and-use-of-buildings-approved-document-m" TargetMode="External"/><Relationship Id="rId32" Type="http://schemas.openxmlformats.org/officeDocument/2006/relationships/hyperlink" Target="https://www.hse-network.com/health-and-safety-at-work-act-1974-explained" TargetMode="External"/><Relationship Id="rId37" Type="http://schemas.openxmlformats.org/officeDocument/2006/relationships/hyperlink" Target="https://www.hse.gov.uk/coshh/" TargetMode="Externa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trada.co.uk/" TargetMode="External"/><Relationship Id="rId23" Type="http://schemas.openxmlformats.org/officeDocument/2006/relationships/hyperlink" Target="https://www.gov.uk/government/publications/conservation-of-fuel-and-power-approved-document-l" TargetMode="External"/><Relationship Id="rId28" Type="http://schemas.openxmlformats.org/officeDocument/2006/relationships/hyperlink" Target="https://www.legislation.gov.uk/uksi/1992/2793/made" TargetMode="External"/><Relationship Id="rId36" Type="http://schemas.openxmlformats.org/officeDocument/2006/relationships/hyperlink" Target="https://www.hse.gov.uk/riddor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Structure:%20Approved%20Document%20A%20-%20GOV.UK%20(www.gov.uk)" TargetMode="External"/><Relationship Id="rId31" Type="http://schemas.openxmlformats.org/officeDocument/2006/relationships/hyperlink" Target="https://www.hse.gov.uk/pubns/books/l114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he-nhtg.org.uk/" TargetMode="External"/><Relationship Id="rId22" Type="http://schemas.openxmlformats.org/officeDocument/2006/relationships/hyperlink" Target="https://www.gov.uk/government/publications/conservation-of-fuel-and-power-approved-document-l" TargetMode="External"/><Relationship Id="rId27" Type="http://schemas.openxmlformats.org/officeDocument/2006/relationships/hyperlink" Target="https://www.gov.uk/government/publications/material-and-workmanship-approved-document-7" TargetMode="External"/><Relationship Id="rId30" Type="http://schemas.openxmlformats.org/officeDocument/2006/relationships/hyperlink" Target="https://www.hse.gov.uk/pubns/woodindx.htm" TargetMode="External"/><Relationship Id="rId35" Type="http://schemas.openxmlformats.org/officeDocument/2006/relationships/hyperlink" Target="https://www.hse.gov.uk/work-equipment-machinery/puwer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5EAB1-5777-4AA4-8995-3211BA791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B56028-A427-492B-B556-8A1930949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5F81D6-2C25-4D5F-956A-0B6D63023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394857-405F-4461-84D0-5C29DB7B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Gwen Jones</cp:lastModifiedBy>
  <cp:revision>6</cp:revision>
  <cp:lastPrinted>2021-02-03T13:26:00Z</cp:lastPrinted>
  <dcterms:created xsi:type="dcterms:W3CDTF">2021-07-05T09:35:00Z</dcterms:created>
  <dcterms:modified xsi:type="dcterms:W3CDTF">2021-08-13T15:09:00Z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