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1459E2A" w:rsidR="00CC1C2A" w:rsidRDefault="00376CB6" w:rsidP="00205182">
      <w:pPr>
        <w:pStyle w:val="Unittitle"/>
      </w:pPr>
      <w:r>
        <w:t>Uned 207: Gwybodaeth graidd am waith coed pensaernïol</w:t>
      </w:r>
    </w:p>
    <w:p w14:paraId="3719F5E0" w14:textId="5A6CEFD1" w:rsidR="009B0EE5" w:rsidRPr="00FC1E7C" w:rsidRDefault="006B23A9" w:rsidP="000F364F">
      <w:pPr>
        <w:pStyle w:val="Heading1"/>
        <w:rPr>
          <w:sz w:val="28"/>
          <w:szCs w:val="28"/>
        </w:rPr>
        <w:sectPr w:rsidR="009B0EE5" w:rsidRPr="00FC1E7C"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Pr>
          <w:sz w:val="28"/>
        </w:rPr>
        <w:t>Canllawiau darparu</w:t>
      </w:r>
    </w:p>
    <w:p w14:paraId="79FA5A9A" w14:textId="1313B297" w:rsidR="0017259D" w:rsidRPr="009F1EE2" w:rsidRDefault="008005D4" w:rsidP="000F364F">
      <w:pPr>
        <w:pStyle w:val="Style1"/>
        <w:spacing w:before="0" w:line="240" w:lineRule="auto"/>
      </w:pPr>
      <w:r>
        <w:t>Gwybodaeth am yr uned</w:t>
      </w:r>
    </w:p>
    <w:p w14:paraId="544875A5" w14:textId="568842C1" w:rsidR="00DE54B8" w:rsidRDefault="00DE54B8" w:rsidP="00DE54B8">
      <w:pPr>
        <w:spacing w:before="0" w:line="240" w:lineRule="auto"/>
      </w:pPr>
      <w:r>
        <w:t>Mae’r uned hon yn ymdrin â’r wybodaeth gyffredinol sydd ei hangen ar gyfer y llwybr hwn.</w:t>
      </w:r>
    </w:p>
    <w:p w14:paraId="00F69932" w14:textId="26BF74FA" w:rsidR="00DE54B8" w:rsidRDefault="00DE54B8" w:rsidP="00DE54B8">
      <w:pPr>
        <w:spacing w:before="0" w:line="240" w:lineRule="auto"/>
      </w:pPr>
      <w:r>
        <w:t>Ystyrir bod y cynnwys sydd wedi’i restru yn y ddogfen hon yn generig gan ei fod yn gyson drwy lawer o’r unedau sgiliau yn y cymhwyster hwn. Dylid addysgu’r cynnwys, a bydd yn cael ei asesu’n gyffredinol ac mewn perthynas â’r unedau sgiliau canlynol (lle bo hynny’n briodol):</w:t>
      </w:r>
    </w:p>
    <w:p w14:paraId="686B5237" w14:textId="7BDB18CD" w:rsidR="00DE54B8" w:rsidRDefault="002E2DA6" w:rsidP="00FC1E7C">
      <w:pPr>
        <w:pStyle w:val="Normalbulletlist"/>
      </w:pPr>
      <w:r>
        <w:t>Cynhyrchu manylion amlinellu ar gyfer cynhyrchion cyffredin</w:t>
      </w:r>
    </w:p>
    <w:p w14:paraId="783DF243" w14:textId="5CC0897E" w:rsidR="00DE54B8" w:rsidRDefault="002E2DA6" w:rsidP="00FC1E7C">
      <w:pPr>
        <w:pStyle w:val="Normalbulletlist"/>
      </w:pPr>
      <w:r>
        <w:t>Marcio allan o’r manylion amlinellu ar gyfer cynhyrchion cyffredin</w:t>
      </w:r>
    </w:p>
    <w:p w14:paraId="7B83FA9C" w14:textId="5DB1D6B1" w:rsidR="00DE54B8" w:rsidRDefault="002E2DA6" w:rsidP="00FC1E7C">
      <w:pPr>
        <w:pStyle w:val="Normalbulletlist"/>
      </w:pPr>
      <w:r>
        <w:t>Gweithgynhyrchu cynhyrchion cyffredin</w:t>
      </w:r>
    </w:p>
    <w:p w14:paraId="1EDA340D" w14:textId="5A7ACBFE" w:rsidR="00D45288" w:rsidRDefault="002E2DA6" w:rsidP="00FC1E7C">
      <w:pPr>
        <w:pStyle w:val="Normalbulletlist"/>
      </w:pPr>
      <w:r>
        <w:t>Gosod a defnyddio peiriannau torri a siapio cludadwy</w:t>
      </w:r>
    </w:p>
    <w:p w14:paraId="063869DA" w14:textId="5408BBC4" w:rsidR="007D6FEB" w:rsidRDefault="007D6FEB" w:rsidP="000F364F">
      <w:pPr>
        <w:spacing w:before="0" w:line="240" w:lineRule="auto"/>
      </w:pPr>
    </w:p>
    <w:p w14:paraId="31FE2610" w14:textId="77777777" w:rsidR="003614CC" w:rsidRPr="003614CC" w:rsidRDefault="003614CC" w:rsidP="003614CC">
      <w:pPr>
        <w:spacing w:before="0" w:after="0" w:line="240" w:lineRule="auto"/>
      </w:pPr>
      <w:r>
        <w:t>Gellir cyflwyno dysgwyr i’r uned hon drwy eu cymell i ofyn cwestiynau iddyn nhw eu hunain fel:</w:t>
      </w:r>
    </w:p>
    <w:p w14:paraId="7E0702DC" w14:textId="77777777" w:rsidR="003614CC" w:rsidRPr="003614CC" w:rsidRDefault="003614CC" w:rsidP="00FC1E7C">
      <w:pPr>
        <w:pStyle w:val="Normalbulletlist"/>
      </w:pPr>
      <w:r>
        <w:t>Pam mae cynefino â safleoedd yn bwysig?</w:t>
      </w:r>
    </w:p>
    <w:p w14:paraId="3E28E5E1" w14:textId="77777777" w:rsidR="003614CC" w:rsidRDefault="003614CC" w:rsidP="00FC1E7C">
      <w:pPr>
        <w:pStyle w:val="Normalbulletlist"/>
      </w:pPr>
      <w:r>
        <w:t>Beth yw'r gwahaniaeth rhwng cerdyn tasg a thaflen amser?</w:t>
      </w:r>
    </w:p>
    <w:p w14:paraId="6321BF09" w14:textId="476E7144" w:rsidR="004712E2" w:rsidRDefault="003614CC" w:rsidP="00FC1E7C">
      <w:pPr>
        <w:pStyle w:val="Normalbulletlist"/>
      </w:pPr>
      <w:r>
        <w:t>Pwy yw Cadw, a beth maen nhw’n wneud?</w:t>
      </w:r>
    </w:p>
    <w:p w14:paraId="4D1C4D06" w14:textId="77777777" w:rsidR="004712E2" w:rsidRDefault="004712E2" w:rsidP="00DE7233">
      <w:pPr>
        <w:spacing w:before="0" w:after="0" w:line="240" w:lineRule="auto"/>
      </w:pPr>
    </w:p>
    <w:p w14:paraId="290C73A4" w14:textId="7E4FD8B5" w:rsidR="004D0BA5" w:rsidRPr="009F1EE2" w:rsidRDefault="004D0BA5" w:rsidP="000F364F">
      <w:pPr>
        <w:pStyle w:val="Style1"/>
        <w:spacing w:before="0" w:line="240" w:lineRule="auto"/>
      </w:pPr>
      <w:r>
        <w:t>Deilliannau dysgu</w:t>
      </w:r>
    </w:p>
    <w:p w14:paraId="059A1282" w14:textId="53BE23DC" w:rsidR="004D0BA5" w:rsidRPr="00260ABB" w:rsidRDefault="00997551" w:rsidP="00F42FC2">
      <w:pPr>
        <w:pStyle w:val="ListParagraph"/>
        <w:numPr>
          <w:ilvl w:val="0"/>
          <w:numId w:val="28"/>
        </w:numPr>
      </w:pPr>
      <w:r>
        <w:t xml:space="preserve">Deall sut mae dehongli a chynnal gwybodaeth </w:t>
      </w:r>
    </w:p>
    <w:p w14:paraId="02C4AC0B" w14:textId="10346A71" w:rsidR="004D0BA5" w:rsidRDefault="00997551" w:rsidP="00F42FC2">
      <w:pPr>
        <w:pStyle w:val="ListParagraph"/>
        <w:numPr>
          <w:ilvl w:val="0"/>
          <w:numId w:val="28"/>
        </w:numPr>
      </w:pPr>
      <w:r>
        <w:t>Deall arferion gweithio diogel</w:t>
      </w:r>
    </w:p>
    <w:p w14:paraId="064D5448" w14:textId="01BAEFB3" w:rsidR="00D04E77" w:rsidRDefault="00997551" w:rsidP="00F42FC2">
      <w:pPr>
        <w:pStyle w:val="ListParagraph"/>
        <w:numPr>
          <w:ilvl w:val="0"/>
          <w:numId w:val="28"/>
        </w:numPr>
      </w:pPr>
      <w:r>
        <w:t>Deall sut mae lleihau’r risg o ddifrod</w:t>
      </w:r>
    </w:p>
    <w:p w14:paraId="700DA6D7" w14:textId="12045700" w:rsidR="00D04E77" w:rsidRDefault="0005397E" w:rsidP="00F42FC2">
      <w:pPr>
        <w:pStyle w:val="ListParagraph"/>
        <w:numPr>
          <w:ilvl w:val="0"/>
          <w:numId w:val="28"/>
        </w:numPr>
      </w:pPr>
      <w:r>
        <w:t xml:space="preserve">Deall gweithio i derfynau amser </w:t>
      </w:r>
    </w:p>
    <w:p w14:paraId="4B8A6122" w14:textId="77777777" w:rsidR="004712E2" w:rsidRDefault="004712E2" w:rsidP="004712E2"/>
    <w:p w14:paraId="05E8087E" w14:textId="2F598C97" w:rsidR="004D0BA5" w:rsidRPr="001C0CA5" w:rsidRDefault="00DF022A" w:rsidP="000F364F">
      <w:pPr>
        <w:pStyle w:val="Style1"/>
        <w:spacing w:before="0" w:line="240" w:lineRule="auto"/>
      </w:pPr>
      <w:r>
        <w:t>Adnoddau a awgrymir</w:t>
      </w:r>
    </w:p>
    <w:p w14:paraId="0A89E153" w14:textId="75C57821" w:rsidR="008716BC" w:rsidRDefault="006B07D3" w:rsidP="005A5A14">
      <w:pPr>
        <w:pStyle w:val="Normalbulletlist"/>
      </w:pPr>
      <w:r>
        <w:t xml:space="preserve">BS EN ISO 19650-1:2018. </w:t>
      </w:r>
      <w:r>
        <w:rPr>
          <w:i/>
        </w:rPr>
        <w:t>Organization and digitization of information about buildings and civil engineering works, including building information modelling (BIM). Information management using building information modelling. Part 1: Concepts and principles</w:t>
      </w:r>
      <w:r>
        <w:t xml:space="preserve">. </w:t>
      </w:r>
    </w:p>
    <w:p w14:paraId="2360A631" w14:textId="2DCF735F" w:rsidR="00E61257" w:rsidRDefault="008716BC" w:rsidP="005A5A14">
      <w:pPr>
        <w:pStyle w:val="Normalbulletlist"/>
      </w:pPr>
      <w:r>
        <w:t xml:space="preserve">BS EN ISO 19650-2:2018 &amp; Revised NA. </w:t>
      </w:r>
      <w:r>
        <w:rPr>
          <w:i/>
        </w:rPr>
        <w:t>Organization and digitization of information about buildings and civil engineering works, including building information modelling (BIM). Information management using building information modelling. Part 2: Delivery phase of the assets.</w:t>
      </w:r>
    </w:p>
    <w:p w14:paraId="2AC8737E" w14:textId="16927F1E" w:rsidR="00CB4C38" w:rsidRDefault="00693866" w:rsidP="005A5A14">
      <w:pPr>
        <w:pStyle w:val="Normalbulletlist"/>
      </w:pPr>
      <w:r>
        <w:t xml:space="preserve">BS EN ISO 9001:2000. </w:t>
      </w:r>
      <w:r>
        <w:rPr>
          <w:i/>
        </w:rPr>
        <w:t>Quality management systems. Requirements</w:t>
      </w:r>
      <w:r>
        <w:t>.</w:t>
      </w:r>
    </w:p>
    <w:p w14:paraId="025C4076" w14:textId="39B38B82" w:rsidR="00CB4C38" w:rsidRDefault="00CB4C38" w:rsidP="007A33F5">
      <w:pPr>
        <w:pStyle w:val="Normalheadingblack"/>
      </w:pPr>
      <w:r>
        <w:t>Gwefannau</w:t>
      </w:r>
    </w:p>
    <w:p w14:paraId="2C929931" w14:textId="77777777" w:rsidR="002575AA" w:rsidRPr="00A27AE7" w:rsidRDefault="006713EE" w:rsidP="002575AA">
      <w:pPr>
        <w:pStyle w:val="Normalbulletlist"/>
        <w:rPr>
          <w:rStyle w:val="Hyperlink"/>
          <w:color w:val="auto"/>
          <w:u w:val="none"/>
        </w:rPr>
      </w:pPr>
      <w:hyperlink r:id="rId16" w:history="1">
        <w:r w:rsidR="003728D5">
          <w:rPr>
            <w:rStyle w:val="Hyperlink"/>
          </w:rPr>
          <w:t xml:space="preserve">Cadw (gov.wales) | Homepage </w:t>
        </w:r>
      </w:hyperlink>
    </w:p>
    <w:p w14:paraId="56618ADB" w14:textId="2A57BAEB" w:rsidR="00DA3D61" w:rsidRDefault="006713EE" w:rsidP="00C916A2">
      <w:pPr>
        <w:pStyle w:val="Normalbulletlist"/>
      </w:pPr>
      <w:hyperlink r:id="rId17" w:history="1">
        <w:r w:rsidR="003728D5">
          <w:rPr>
            <w:rStyle w:val="Hyperlink"/>
          </w:rPr>
          <w:t xml:space="preserve">BWF | Homepage </w:t>
        </w:r>
      </w:hyperlink>
    </w:p>
    <w:p w14:paraId="4055726B" w14:textId="0FDE1893" w:rsidR="005740E2" w:rsidRDefault="005740E2" w:rsidP="007A33F5">
      <w:pPr>
        <w:pStyle w:val="Normalheadingblack"/>
      </w:pPr>
      <w:r>
        <w:t>Deddfwriaeth</w:t>
      </w:r>
    </w:p>
    <w:p w14:paraId="41AB52D5" w14:textId="5002A220" w:rsidR="00FD6214" w:rsidRPr="00E228A2" w:rsidRDefault="00FD6214" w:rsidP="00FD6214">
      <w:pPr>
        <w:pStyle w:val="Normalbulletlist"/>
      </w:pPr>
      <w:r>
        <w:t>Codau Ymarfer Cymeradwy (ACOPs)</w:t>
      </w:r>
    </w:p>
    <w:p w14:paraId="0213B9A3" w14:textId="26A59CA2" w:rsidR="006E58C5" w:rsidRDefault="006713EE" w:rsidP="00D62EAC">
      <w:pPr>
        <w:pStyle w:val="Normalbulletlist"/>
      </w:pPr>
      <w:hyperlink r:id="rId18" w:history="1">
        <w:r w:rsidR="003728D5">
          <w:rPr>
            <w:rStyle w:val="Hyperlink"/>
          </w:rPr>
          <w:t>GOV.UK (www.gov.uk) | Building regulations approval</w:t>
        </w:r>
      </w:hyperlink>
    </w:p>
    <w:p w14:paraId="68BE9054" w14:textId="559418F3" w:rsidR="007D2652" w:rsidRDefault="006713EE" w:rsidP="007D2652">
      <w:pPr>
        <w:pStyle w:val="Normalbulletlist"/>
      </w:pPr>
      <w:hyperlink r:id="rId19" w:anchor=":~:text=The%20Personal%20Protective%20Equipment%20at%20Work%20Regulations%201992,9%20Information%2C%20instruction%20and%20training%20More%20items...%20" w:history="1">
        <w:r w:rsidR="003728D5">
          <w:rPr>
            <w:rStyle w:val="Hyperlink"/>
          </w:rPr>
          <w:t xml:space="preserve">GOV.UK (www.gov.uk) | The Personal Protective Equipment at Work Regulations 1992 </w:t>
        </w:r>
      </w:hyperlink>
    </w:p>
    <w:p w14:paraId="1498D086" w14:textId="13E36390" w:rsidR="00C567AF" w:rsidRDefault="006713EE" w:rsidP="00C567AF">
      <w:pPr>
        <w:pStyle w:val="Normalbulletlist"/>
      </w:pPr>
      <w:hyperlink r:id="rId20" w:history="1">
        <w:r w:rsidR="003728D5">
          <w:rPr>
            <w:rStyle w:val="Hyperlink"/>
          </w:rPr>
          <w:t xml:space="preserve">GOV.UK (www.gov.uk) | The Manual Handling Operations Regulations 1992 </w:t>
        </w:r>
      </w:hyperlink>
    </w:p>
    <w:p w14:paraId="4061A1B6" w14:textId="1DF29366" w:rsidR="00750AE9" w:rsidRPr="004B0A78" w:rsidRDefault="00C4282A" w:rsidP="003728D5">
      <w:pPr>
        <w:pStyle w:val="Normalbulletlist"/>
        <w:rPr>
          <w:rFonts w:cs="Arial"/>
        </w:rPr>
      </w:pPr>
      <w:r>
        <w:fldChar w:fldCharType="begin"/>
      </w:r>
      <w:r w:rsidR="00D14DBA">
        <w:instrText>HYPERLINK "https://www.legislation.gov.uk/uksi/2005/1643/made"</w:instrText>
      </w:r>
      <w:r>
        <w:fldChar w:fldCharType="separate"/>
      </w:r>
      <w:r>
        <w:rPr>
          <w:rStyle w:val="Hyperlink"/>
        </w:rPr>
        <w:t>GOV.UK (www.gov.uk) | The Control of Noise at Work Regulations 2005</w:t>
      </w:r>
      <w:r>
        <w:t xml:space="preserve"> </w:t>
      </w:r>
    </w:p>
    <w:p w14:paraId="129B5832" w14:textId="64A00B06" w:rsidR="003728D5" w:rsidRPr="001C0CA5" w:rsidRDefault="00C4282A" w:rsidP="003728D5">
      <w:pPr>
        <w:pStyle w:val="Style1"/>
      </w:pPr>
      <w:r>
        <w:rPr>
          <w:rStyle w:val="Hyperlink"/>
        </w:rPr>
        <w:lastRenderedPageBreak/>
        <w:fldChar w:fldCharType="end"/>
      </w:r>
      <w:r>
        <w:t xml:space="preserve"> Adnoddau a awgrymir (parhad)</w:t>
      </w:r>
    </w:p>
    <w:p w14:paraId="0616C6BB" w14:textId="3E118D27" w:rsidR="003728D5" w:rsidRDefault="003728D5" w:rsidP="003728D5">
      <w:pPr>
        <w:pStyle w:val="Normalheadingblack"/>
      </w:pPr>
      <w:r>
        <w:t>Deddfwriaeth (parhad)</w:t>
      </w:r>
    </w:p>
    <w:p w14:paraId="240E7A48" w14:textId="7E6A0D4E" w:rsidR="00A77165" w:rsidRPr="00A77165" w:rsidRDefault="006713EE" w:rsidP="00A77165">
      <w:pPr>
        <w:pStyle w:val="Normalbulletlist"/>
        <w:rPr>
          <w:rStyle w:val="Hyperlink"/>
          <w:rFonts w:cs="Arial"/>
          <w:color w:val="auto"/>
          <w:u w:val="none"/>
        </w:rPr>
      </w:pPr>
      <w:hyperlink r:id="rId21" w:history="1">
        <w:r w:rsidR="003728D5">
          <w:rPr>
            <w:rStyle w:val="cf01"/>
            <w:rFonts w:ascii="Arial" w:hAnsi="Arial"/>
            <w:color w:val="0000FF"/>
            <w:sz w:val="22"/>
            <w:szCs w:val="22"/>
            <w:u w:val="single"/>
          </w:rPr>
          <w:t>HSE | Health and safety in the woodworking industry</w:t>
        </w:r>
      </w:hyperlink>
    </w:p>
    <w:p w14:paraId="68BA0830" w14:textId="5525BE9D" w:rsidR="00A77165" w:rsidRPr="001B5772" w:rsidRDefault="006713EE" w:rsidP="00A77165">
      <w:pPr>
        <w:pStyle w:val="Normalbulletlist"/>
        <w:rPr>
          <w:rFonts w:cs="Arial"/>
        </w:rPr>
      </w:pPr>
      <w:hyperlink r:id="rId22" w:history="1">
        <w:r w:rsidR="003728D5">
          <w:rPr>
            <w:rStyle w:val="Hyperlink"/>
            <w:shd w:val="clear" w:color="auto" w:fill="FFFFFF"/>
          </w:rPr>
          <w:t>HSE | Health and Safety at Work Act 1974 explained</w:t>
        </w:r>
      </w:hyperlink>
      <w:r w:rsidR="003728D5">
        <w:t xml:space="preserve"> </w:t>
      </w:r>
    </w:p>
    <w:p w14:paraId="43D914EB" w14:textId="77777777" w:rsidR="00A77165" w:rsidRDefault="006713EE" w:rsidP="00A77165">
      <w:pPr>
        <w:pStyle w:val="Normalbulletlist"/>
      </w:pPr>
      <w:hyperlink r:id="rId23" w:history="1">
        <w:r w:rsidR="003728D5">
          <w:rPr>
            <w:rStyle w:val="Hyperlink"/>
          </w:rPr>
          <w:t>HSE | Construction Design and Management Regulations 2015</w:t>
        </w:r>
      </w:hyperlink>
    </w:p>
    <w:p w14:paraId="7A046265" w14:textId="77777777" w:rsidR="00A77165" w:rsidRPr="001B5772" w:rsidRDefault="006713EE" w:rsidP="00A77165">
      <w:pPr>
        <w:pStyle w:val="Normalbulletlist"/>
        <w:rPr>
          <w:rFonts w:cs="Arial"/>
        </w:rPr>
      </w:pPr>
      <w:hyperlink r:id="rId24" w:history="1">
        <w:r w:rsidR="003728D5">
          <w:rPr>
            <w:rStyle w:val="Hyperlink"/>
            <w:shd w:val="clear" w:color="auto" w:fill="FFFFFF"/>
          </w:rPr>
          <w:t>HSE | PUWER</w:t>
        </w:r>
      </w:hyperlink>
    </w:p>
    <w:p w14:paraId="153FB388" w14:textId="77777777" w:rsidR="00A77165" w:rsidRDefault="006713EE" w:rsidP="00A77165">
      <w:pPr>
        <w:pStyle w:val="Normalbulletlist"/>
        <w:rPr>
          <w:rStyle w:val="Hyperlink"/>
          <w:color w:val="auto"/>
          <w:u w:val="none"/>
        </w:rPr>
      </w:pPr>
      <w:hyperlink r:id="rId25" w:history="1">
        <w:r w:rsidR="003728D5">
          <w:rPr>
            <w:rStyle w:val="Hyperlink"/>
          </w:rPr>
          <w:t xml:space="preserve">HSE | RIDDOR </w:t>
        </w:r>
      </w:hyperlink>
    </w:p>
    <w:p w14:paraId="47D71F2E" w14:textId="77777777" w:rsidR="00A77165" w:rsidRPr="00D62EAC" w:rsidRDefault="006713EE" w:rsidP="00A77165">
      <w:pPr>
        <w:pStyle w:val="Normalbulletlist"/>
        <w:rPr>
          <w:rStyle w:val="Hyperlink"/>
          <w:color w:val="auto"/>
          <w:u w:val="none"/>
        </w:rPr>
      </w:pPr>
      <w:hyperlink r:id="rId26" w:history="1">
        <w:r w:rsidR="003728D5">
          <w:rPr>
            <w:rStyle w:val="Hyperlink"/>
          </w:rPr>
          <w:t>HSE | COSHH</w:t>
        </w:r>
      </w:hyperlink>
    </w:p>
    <w:p w14:paraId="565A1BC1" w14:textId="0FD9288E" w:rsidR="00525722" w:rsidRPr="00A63F2B" w:rsidRDefault="006713EE" w:rsidP="00A77165">
      <w:pPr>
        <w:pStyle w:val="Normalbulletlist"/>
      </w:pPr>
      <w:hyperlink r:id="rId27" w:history="1">
        <w:r w:rsidR="003728D5">
          <w:rPr>
            <w:rStyle w:val="Hyperlink"/>
          </w:rPr>
          <w:t>HSE | LOLER</w:t>
        </w:r>
      </w:hyperlink>
    </w:p>
    <w:p w14:paraId="2011121B" w14:textId="491E9B8F" w:rsidR="00C4282A" w:rsidRDefault="00C4282A" w:rsidP="007A33F5">
      <w:pPr>
        <w:pStyle w:val="Normalheadingblack"/>
      </w:pPr>
    </w:p>
    <w:p w14:paraId="36429152" w14:textId="32CDBE7F" w:rsidR="003728D5" w:rsidRDefault="003728D5" w:rsidP="007A33F5">
      <w:pPr>
        <w:pStyle w:val="Normalheadingblack"/>
      </w:pPr>
    </w:p>
    <w:p w14:paraId="2150E327" w14:textId="47D81EB3" w:rsidR="003728D5" w:rsidRPr="001C0CA5" w:rsidRDefault="003728D5" w:rsidP="003728D5">
      <w:pPr>
        <w:pStyle w:val="Style1"/>
        <w:spacing w:before="0" w:line="240" w:lineRule="auto"/>
      </w:pPr>
      <w:bookmarkStart w:id="0" w:name="_Hlk76465188"/>
      <w:r>
        <w:t>Adnoddau a awgrymir (parhad)</w:t>
      </w:r>
      <w:bookmarkEnd w:id="0"/>
    </w:p>
    <w:p w14:paraId="37C881E0" w14:textId="78074E3D" w:rsidR="00116381" w:rsidRDefault="001C0CA5" w:rsidP="007A33F5">
      <w:pPr>
        <w:pStyle w:val="Normalheadingblack"/>
      </w:pPr>
      <w:r>
        <w:t>Gwerslyfrau</w:t>
      </w:r>
    </w:p>
    <w:p w14:paraId="1FEA04BC" w14:textId="37FC1107" w:rsidR="00525722" w:rsidRDefault="00D33B16" w:rsidP="00442AE1">
      <w:pPr>
        <w:pStyle w:val="Normalbulletlist"/>
      </w:pPr>
      <w:r>
        <w:t xml:space="preserve">Jones, S., Redfern, S., Fearn, C. (2019) </w:t>
      </w:r>
      <w:r>
        <w:rPr>
          <w:i/>
        </w:rPr>
        <w:t>The City &amp; Guilds Textbook: Site Carpentry and Architectural Joinery</w:t>
      </w:r>
      <w:r>
        <w:t xml:space="preserve"> </w:t>
      </w:r>
      <w:r>
        <w:rPr>
          <w:i/>
        </w:rPr>
        <w:t>for the Level 2 Apprenticeship (6571), Level 2 Technical Certificate (7906) &amp; Level 2 Diploma (6706</w:t>
      </w:r>
      <w:r>
        <w:t xml:space="preserve">). London: Hodder Education. </w:t>
      </w:r>
    </w:p>
    <w:p w14:paraId="1FA4010F" w14:textId="7F6080F4" w:rsidR="00442AE1" w:rsidRPr="00D06783" w:rsidRDefault="00116381" w:rsidP="007A33F5">
      <w:pPr>
        <w:pStyle w:val="Normalbulletlist"/>
        <w:numPr>
          <w:ilvl w:val="0"/>
          <w:numId w:val="0"/>
        </w:numPr>
        <w:ind w:firstLine="284"/>
      </w:pPr>
      <w:r>
        <w:t>ISBN 978-1-5104-5813-0</w:t>
      </w:r>
    </w:p>
    <w:p w14:paraId="5CDC816C" w14:textId="72B0AC9B" w:rsidR="00525722" w:rsidRDefault="00656E58" w:rsidP="00442AE1">
      <w:pPr>
        <w:pStyle w:val="Normalbulletlist"/>
      </w:pPr>
      <w:r>
        <w:t xml:space="preserve">Burdfield, M., Jones, S., Redfern, S., Fearn, C. (2020) </w:t>
      </w:r>
      <w:r>
        <w:rPr>
          <w:i/>
        </w:rPr>
        <w:t>The City &amp; Guilds Textbook: Site Carpentry &amp; Architectural Joinery for the Level 3 Apprenticeship (6571), Level 3 Advanced Technical Diploma (7906) &amp; Level 3 Diploma</w:t>
      </w:r>
      <w:r>
        <w:t>. London: Hodder Education.</w:t>
      </w:r>
    </w:p>
    <w:p w14:paraId="388C9F66" w14:textId="38F7BC94" w:rsidR="00011B49" w:rsidRPr="00D06783" w:rsidRDefault="00442AE1" w:rsidP="007A33F5">
      <w:pPr>
        <w:pStyle w:val="Normalbulletlist"/>
        <w:numPr>
          <w:ilvl w:val="0"/>
          <w:numId w:val="0"/>
        </w:numPr>
        <w:ind w:firstLine="284"/>
      </w:pPr>
      <w:r>
        <w:t>ISBN 978-1-5104-5815-4</w:t>
      </w:r>
    </w:p>
    <w:p w14:paraId="1B9DD587" w14:textId="79BD0FC6" w:rsidR="00D93C78" w:rsidRDefault="00D93C78" w:rsidP="00C4282A">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6E7E1CBF" w14:textId="0BEEF02F" w:rsidR="00885ED3" w:rsidRDefault="00885ED3" w:rsidP="000F364F">
      <w:pPr>
        <w:spacing w:before="0" w:after="0" w:line="240" w:lineRule="auto"/>
        <w:rPr>
          <w:bCs/>
          <w:color w:val="FFFFFF" w:themeColor="background1"/>
        </w:rPr>
      </w:pPr>
    </w:p>
    <w:p w14:paraId="229137F4" w14:textId="372C9F92" w:rsidR="003728D5" w:rsidRDefault="003728D5" w:rsidP="000F364F">
      <w:pPr>
        <w:spacing w:before="0" w:line="240" w:lineRule="auto"/>
        <w:rPr>
          <w:bCs/>
          <w:color w:val="FFFFFF" w:themeColor="background1"/>
        </w:rPr>
      </w:pPr>
      <w:r>
        <w:br w:type="page"/>
      </w:r>
    </w:p>
    <w:p w14:paraId="45F264B4" w14:textId="77777777" w:rsidR="003729D3" w:rsidRDefault="003729D3" w:rsidP="000F364F">
      <w:pPr>
        <w:spacing w:before="0" w:line="240" w:lineRule="auto"/>
        <w:rPr>
          <w:bCs/>
          <w:color w:val="FFFFFF" w:themeColor="background1"/>
        </w:rPr>
        <w:sectPr w:rsidR="003729D3" w:rsidSect="006C0843">
          <w:headerReference w:type="even" r:id="rId28"/>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3FB03DC">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lastRenderedPageBreak/>
              <w:t>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color w:val="FFFFFF" w:themeColor="background1"/>
              </w:rPr>
              <w:t>Canllawiau darparu</w:t>
            </w:r>
          </w:p>
        </w:tc>
      </w:tr>
      <w:tr w:rsidR="003F43F5" w:rsidRPr="00D979B1" w14:paraId="1E63667F" w14:textId="77777777" w:rsidTr="03FB03DC">
        <w:tc>
          <w:tcPr>
            <w:tcW w:w="3627" w:type="dxa"/>
            <w:vMerge w:val="restart"/>
            <w:tcBorders>
              <w:top w:val="nil"/>
            </w:tcBorders>
            <w:tcMar>
              <w:top w:w="108" w:type="dxa"/>
              <w:bottom w:w="108" w:type="dxa"/>
            </w:tcMar>
          </w:tcPr>
          <w:p w14:paraId="028BA971" w14:textId="68FC2920" w:rsidR="003F43F5" w:rsidRPr="00CD50CC" w:rsidRDefault="003F43F5" w:rsidP="00260ABB">
            <w:pPr>
              <w:pStyle w:val="ListParagraph"/>
              <w:numPr>
                <w:ilvl w:val="0"/>
                <w:numId w:val="37"/>
              </w:numPr>
              <w:adjustRightInd w:val="0"/>
              <w:spacing w:line="240" w:lineRule="auto"/>
              <w:contextualSpacing w:val="0"/>
            </w:pPr>
            <w:r>
              <w:t>Deall sut mae dehongli a chynnal gwybodaeth</w:t>
            </w:r>
          </w:p>
        </w:tc>
        <w:tc>
          <w:tcPr>
            <w:tcW w:w="3627" w:type="dxa"/>
            <w:tcBorders>
              <w:top w:val="nil"/>
            </w:tcBorders>
            <w:tcMar>
              <w:top w:w="108" w:type="dxa"/>
              <w:bottom w:w="108" w:type="dxa"/>
            </w:tcMar>
          </w:tcPr>
          <w:p w14:paraId="404EE5F5" w14:textId="3E5938F3" w:rsidR="003F43F5" w:rsidRPr="00CD50CC" w:rsidRDefault="003F43F5" w:rsidP="00C85C02">
            <w:pPr>
              <w:pStyle w:val="ListParagraph"/>
              <w:numPr>
                <w:ilvl w:val="1"/>
                <w:numId w:val="37"/>
              </w:numPr>
              <w:adjustRightInd w:val="0"/>
              <w:spacing w:line="240" w:lineRule="auto"/>
              <w:contextualSpacing w:val="0"/>
            </w:pPr>
            <w:r>
              <w:t>Y gweithdrefnau sefydliadol a ddatblygwyd gan y sefydliad ar gyfer rhoi gwybod am wybodaeth amhriodol ac adnoddau anaddas a’u cywiro, a sut y mae'r rhain yn cael eu defnyddio</w:t>
            </w:r>
          </w:p>
        </w:tc>
        <w:tc>
          <w:tcPr>
            <w:tcW w:w="7261" w:type="dxa"/>
            <w:tcBorders>
              <w:top w:val="nil"/>
            </w:tcBorders>
            <w:tcMar>
              <w:top w:w="108" w:type="dxa"/>
              <w:bottom w:w="108" w:type="dxa"/>
            </w:tcMar>
          </w:tcPr>
          <w:p w14:paraId="3DE17834" w14:textId="753950CC" w:rsidR="0040099C" w:rsidRDefault="00853289" w:rsidP="0040099C">
            <w:pPr>
              <w:pStyle w:val="Normalbulletlist"/>
            </w:pPr>
            <w:r>
              <w:t>Bydd dysgwyr yn deall y gall gweithdrefnau gweinyddol gynnwys logiau galwadau/negeseuon e-bost, ffeiliau gwaith, cyfathrebu problemau ar lafar, sgyrsiau blwch offer a chynefino.</w:t>
            </w:r>
          </w:p>
          <w:p w14:paraId="0DCD2FFF" w14:textId="7E9A0666" w:rsidR="0040099C" w:rsidRDefault="00DF3456" w:rsidP="0040099C">
            <w:pPr>
              <w:pStyle w:val="Normalbulletlist"/>
            </w:pPr>
            <w:r>
              <w:t>Bydd dysgwyr yn gwybod manylion cyswllt pobl o awdurdod yn y gweithle, cyflogwyr, cadwyn swyddfeydd gorchymyn, cyflenwyr a/neu gwneuthurwyr deunyddiau.</w:t>
            </w:r>
          </w:p>
          <w:p w14:paraId="52A1A5D3" w14:textId="7C9B26E5" w:rsidR="003F43F5" w:rsidRPr="00CD50CC" w:rsidRDefault="00C21B8F" w:rsidP="00853289">
            <w:pPr>
              <w:pStyle w:val="Normalbulletlist"/>
            </w:pPr>
            <w:r>
              <w:t xml:space="preserve">Bydd dysgwyr yn deall bod gweithwyr yn darparu gwybodaeth drwy ffotograffau, ffurflenni, galwadau ffôn, negeseuon testun, dyddlyfr/dyddiadur, negeseuon e-bost a mathau eraill o gyfathrebu electronig i bersonau o awdurdod. </w:t>
            </w:r>
          </w:p>
        </w:tc>
      </w:tr>
      <w:tr w:rsidR="00442AE1" w:rsidRPr="00D979B1" w14:paraId="2DF4DFA8" w14:textId="77777777" w:rsidTr="03FB03DC">
        <w:tc>
          <w:tcPr>
            <w:tcW w:w="3627" w:type="dxa"/>
            <w:vMerge/>
            <w:tcMar>
              <w:top w:w="108" w:type="dxa"/>
              <w:bottom w:w="108" w:type="dxa"/>
            </w:tcMar>
          </w:tcPr>
          <w:p w14:paraId="6F7632F3" w14:textId="6DB80692" w:rsidR="00442AE1" w:rsidRPr="00CD50CC" w:rsidRDefault="00442AE1" w:rsidP="00442AE1">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198B69AE" w:rsidR="00442AE1" w:rsidRPr="00CD50CC" w:rsidRDefault="00442AE1" w:rsidP="00442AE1">
            <w:pPr>
              <w:pStyle w:val="ListParagraph"/>
              <w:numPr>
                <w:ilvl w:val="1"/>
                <w:numId w:val="37"/>
              </w:numPr>
              <w:adjustRightInd w:val="0"/>
              <w:spacing w:line="240" w:lineRule="auto"/>
              <w:contextualSpacing w:val="0"/>
            </w:pPr>
            <w:r>
              <w:t>Y mathau o wybodaeth, eu ffynhonnell a sut maen nhw’n cael eu dehongli</w:t>
            </w:r>
          </w:p>
        </w:tc>
        <w:tc>
          <w:tcPr>
            <w:tcW w:w="7261" w:type="dxa"/>
            <w:tcMar>
              <w:top w:w="108" w:type="dxa"/>
              <w:bottom w:w="108" w:type="dxa"/>
            </w:tcMar>
          </w:tcPr>
          <w:p w14:paraId="6FA4EB37" w14:textId="6212DE25" w:rsidR="00851391" w:rsidRPr="00851391" w:rsidRDefault="00CE602C" w:rsidP="00851391">
            <w:pPr>
              <w:pStyle w:val="Normalbulletlist"/>
            </w:pPr>
            <w:r>
              <w:t xml:space="preserve">Bydd dysgwyr yn deall nodweddion a ffyrdd o ddefnyddio lluniadau penseiri/dylunwyr (cynllun llawr, lluniadau ystod, ystod cydrannau a gweddluniau, lluniadau cydosod a manylion), biliau meintiau, manylebau, rhestrau, datganiadau dull, asesiadau risg ac arwyddion diogelwch a sut maen nhw’n cael eu rhoi ar waith. </w:t>
            </w:r>
          </w:p>
          <w:p w14:paraId="0A20F61F" w14:textId="58BB9F65" w:rsidR="00442AE1" w:rsidRDefault="00F0513E" w:rsidP="00851391">
            <w:pPr>
              <w:pStyle w:val="Normalbulletlist"/>
            </w:pPr>
            <w:r>
              <w:t>Bydd dysgwyr yn deall gwybodaeth gwneuthurwyr, cyfarwyddiadau ar lafar ac yn ysgrifenedig, rheoliadau adeiladu (fel y maent yn berthnasol i gynhyrchion gwaith coed penodol), rhodenni gweithdy a lluniadau, peiriannu adrannau ar gyfer proffiliau torwyr, rhestrau torri, archebion a nodiadau danfon.</w:t>
            </w:r>
          </w:p>
          <w:p w14:paraId="05948667" w14:textId="6E5DB63A" w:rsidR="00442AE1" w:rsidRPr="00CD50CC" w:rsidRDefault="003F65C9" w:rsidP="00442AE1">
            <w:pPr>
              <w:pStyle w:val="Normalbulletlist"/>
            </w:pPr>
            <w:r>
              <w:t xml:space="preserve">Bydd dysgwyr yn gwybod i wirio’r wybodaeth a ddarperir i sicrhau eglurder, anghywirdebau, gwybodaeth sydd ar goll a phroblemau posibl. </w:t>
            </w:r>
          </w:p>
        </w:tc>
      </w:tr>
      <w:tr w:rsidR="00442AE1" w:rsidRPr="00D979B1" w14:paraId="24BC335D" w14:textId="77777777" w:rsidTr="03FB03DC">
        <w:tc>
          <w:tcPr>
            <w:tcW w:w="3627" w:type="dxa"/>
            <w:vMerge/>
            <w:tcMar>
              <w:top w:w="108" w:type="dxa"/>
              <w:bottom w:w="108" w:type="dxa"/>
            </w:tcMar>
          </w:tcPr>
          <w:p w14:paraId="71A0F004" w14:textId="47E10AD2" w:rsidR="00442AE1" w:rsidRPr="00CD50CC" w:rsidRDefault="00442AE1" w:rsidP="00442AE1">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18CFE0C9" w:rsidR="00442AE1" w:rsidRPr="00CD50CC" w:rsidRDefault="00442AE1" w:rsidP="00442AE1">
            <w:pPr>
              <w:pStyle w:val="ListParagraph"/>
              <w:numPr>
                <w:ilvl w:val="1"/>
                <w:numId w:val="37"/>
              </w:numPr>
              <w:adjustRightInd w:val="0"/>
              <w:spacing w:line="240" w:lineRule="auto"/>
              <w:contextualSpacing w:val="0"/>
            </w:pPr>
            <w:r>
              <w:t xml:space="preserve">Gweithdrefnau’r sefydliad i ddatrys problemau gyda’r wybodaeth a pham ei bod yn </w:t>
            </w:r>
            <w:r>
              <w:lastRenderedPageBreak/>
              <w:t>bwysig eu bod yn cael eu dilyn</w:t>
            </w:r>
          </w:p>
        </w:tc>
        <w:tc>
          <w:tcPr>
            <w:tcW w:w="7261" w:type="dxa"/>
            <w:tcMar>
              <w:top w:w="108" w:type="dxa"/>
              <w:bottom w:w="108" w:type="dxa"/>
            </w:tcMar>
          </w:tcPr>
          <w:p w14:paraId="34479634" w14:textId="1C24BEA4" w:rsidR="00851391" w:rsidRPr="00342168" w:rsidRDefault="003F65C9" w:rsidP="00851391">
            <w:pPr>
              <w:pStyle w:val="Normalbulletlist"/>
            </w:pPr>
            <w:r>
              <w:lastRenderedPageBreak/>
              <w:t>Bydd dysgwyr yn gwybod am y mathau o broblemau sy’n codi o wybodaeth amhriodol, gan gynnwys camglywed cyfarwyddiadau, gwybodaeth anghywir, camddehongli datganiad dull, gwybodaeth anghywir yn cael ei rhoi.</w:t>
            </w:r>
          </w:p>
          <w:p w14:paraId="5A5A6BD5" w14:textId="48B25EE3" w:rsidR="00851391" w:rsidRDefault="00851391" w:rsidP="00851391">
            <w:pPr>
              <w:pStyle w:val="Normalbulletlist"/>
            </w:pPr>
            <w:r>
              <w:lastRenderedPageBreak/>
              <w:t xml:space="preserve">Bydd dysgwyr yn gwybod am y mathau o broblemau sy’n deillio o adnoddau a pheryglon posibl gan gynnwys deunyddiau anaddas ac amgylchiadau sy’n newid. </w:t>
            </w:r>
          </w:p>
          <w:p w14:paraId="0264D889" w14:textId="77777777" w:rsidR="00AE413B" w:rsidRDefault="00AE413B" w:rsidP="00853289">
            <w:pPr>
              <w:pStyle w:val="Normalbulletlist"/>
            </w:pPr>
            <w:r>
              <w:t>Bydd dysgwyr yn gwybod sut mae delio â chwsmeriaid a chleientiaid wrth drefnu gweithgareddau gwaith a thrwy gydol y broses waith.</w:t>
            </w:r>
          </w:p>
          <w:p w14:paraId="3846E446" w14:textId="67301D98" w:rsidR="009F580F" w:rsidRDefault="009F580F" w:rsidP="00853289">
            <w:pPr>
              <w:pStyle w:val="Normalbulletlist"/>
            </w:pPr>
            <w:r>
              <w:t xml:space="preserve">Bydd dysgwyr yn gwybod y gall systemau adrodd mewn gweithleoedd ac mewn swyddfeydd cyflogwyr gynnwys cyfathrebu wyneb yn wyneb, cyfathrebu electronig a dogfennau ysgrifenedig. </w:t>
            </w:r>
          </w:p>
          <w:p w14:paraId="21CF31F4" w14:textId="01D2F106" w:rsidR="00442AE1" w:rsidRPr="00CD50CC" w:rsidRDefault="009F580F" w:rsidP="00853289">
            <w:pPr>
              <w:pStyle w:val="Normalbulletlist"/>
            </w:pPr>
            <w:r>
              <w:t xml:space="preserve">Rhaid i ddysgwyr ddilyn gweithdrefnau i sicrhau bod yr holl broblemau’n cael eu datrys a’u cofnodi gan y person priodol. </w:t>
            </w:r>
          </w:p>
        </w:tc>
      </w:tr>
      <w:tr w:rsidR="003F43F5" w:rsidRPr="00D979B1" w14:paraId="01F0BAAB" w14:textId="77777777" w:rsidTr="03FB03DC">
        <w:tc>
          <w:tcPr>
            <w:tcW w:w="3627" w:type="dxa"/>
            <w:vMerge/>
            <w:tcMar>
              <w:top w:w="108" w:type="dxa"/>
              <w:bottom w:w="108" w:type="dxa"/>
            </w:tcMar>
          </w:tcPr>
          <w:p w14:paraId="278651D3" w14:textId="77777777" w:rsidR="003F43F5" w:rsidRPr="00CD50CC" w:rsidRDefault="003F43F5" w:rsidP="003F43F5">
            <w:pPr>
              <w:adjustRightInd w:val="0"/>
              <w:spacing w:line="240" w:lineRule="auto"/>
            </w:pPr>
          </w:p>
        </w:tc>
        <w:tc>
          <w:tcPr>
            <w:tcW w:w="3627" w:type="dxa"/>
            <w:tcMar>
              <w:top w:w="108" w:type="dxa"/>
              <w:bottom w:w="108" w:type="dxa"/>
            </w:tcMar>
          </w:tcPr>
          <w:p w14:paraId="66FDE437" w14:textId="1A57B6B7" w:rsidR="003F43F5" w:rsidRPr="00BC2FA0" w:rsidRDefault="00FC7562" w:rsidP="00C85C02">
            <w:pPr>
              <w:pStyle w:val="ListParagraph"/>
              <w:numPr>
                <w:ilvl w:val="1"/>
                <w:numId w:val="37"/>
              </w:numPr>
              <w:adjustRightInd w:val="0"/>
              <w:spacing w:line="240" w:lineRule="auto"/>
              <w:contextualSpacing w:val="0"/>
            </w:pPr>
            <w:r>
              <w:t>Pwysigrwydd cadw dogfennau</w:t>
            </w:r>
          </w:p>
        </w:tc>
        <w:tc>
          <w:tcPr>
            <w:tcW w:w="7261" w:type="dxa"/>
            <w:tcMar>
              <w:top w:w="108" w:type="dxa"/>
              <w:bottom w:w="108" w:type="dxa"/>
            </w:tcMar>
          </w:tcPr>
          <w:p w14:paraId="516258B1" w14:textId="14751DD1" w:rsidR="00851391" w:rsidRPr="00851391" w:rsidRDefault="009F580F" w:rsidP="00851391">
            <w:pPr>
              <w:pStyle w:val="Normalbulletlist"/>
            </w:pPr>
            <w:r>
              <w:t>Bydd dysgwyr yn gwybod sut mae cynnal dogfennau (cardiau gwaith, taflenni gwaith, rhestrau deunyddiau/adnoddau a thaflenni amser, dyddlyfr/dyddiadur).</w:t>
            </w:r>
          </w:p>
          <w:p w14:paraId="4228ADDD" w14:textId="6C059BF7" w:rsidR="00851391" w:rsidRDefault="00690B51" w:rsidP="00851391">
            <w:pPr>
              <w:pStyle w:val="Normalbulletlist"/>
            </w:pPr>
            <w:r>
              <w:t>Bydd dysgwyr yn sicrhau bod pob geirda yn ysgrifenedig rhag ofn y bydd angen diwygio contractau.</w:t>
            </w:r>
          </w:p>
          <w:p w14:paraId="352906A5" w14:textId="2E3D36B0" w:rsidR="003F43F5" w:rsidRPr="00CD50CC" w:rsidRDefault="009139E4" w:rsidP="00851391">
            <w:pPr>
              <w:pStyle w:val="Normalbulletlist"/>
            </w:pPr>
            <w:r>
              <w:t>Bydd dysgwyr yn gallu nodi’r partïon dan sylw, ynghyd â dyddiadau a manylion perthnasol.</w:t>
            </w:r>
          </w:p>
        </w:tc>
      </w:tr>
      <w:tr w:rsidR="006F762E" w:rsidRPr="00D979B1" w14:paraId="6800D22A" w14:textId="77777777" w:rsidTr="03FB03DC">
        <w:tc>
          <w:tcPr>
            <w:tcW w:w="3627" w:type="dxa"/>
            <w:vMerge w:val="restart"/>
            <w:tcMar>
              <w:top w:w="108" w:type="dxa"/>
              <w:bottom w:w="108" w:type="dxa"/>
            </w:tcMar>
          </w:tcPr>
          <w:p w14:paraId="3BEC5FBB" w14:textId="222EE804" w:rsidR="006F762E" w:rsidRPr="00CD50CC" w:rsidRDefault="001D2B97" w:rsidP="00C85C02">
            <w:pPr>
              <w:pStyle w:val="ListParagraph"/>
              <w:numPr>
                <w:ilvl w:val="0"/>
                <w:numId w:val="37"/>
              </w:numPr>
              <w:adjustRightInd w:val="0"/>
              <w:spacing w:line="240" w:lineRule="auto"/>
              <w:contextualSpacing w:val="0"/>
            </w:pPr>
            <w:r>
              <w:t>Deall arferion gweithio diogel</w:t>
            </w:r>
          </w:p>
        </w:tc>
        <w:tc>
          <w:tcPr>
            <w:tcW w:w="3627" w:type="dxa"/>
            <w:tcMar>
              <w:top w:w="108" w:type="dxa"/>
              <w:bottom w:w="108" w:type="dxa"/>
            </w:tcMar>
          </w:tcPr>
          <w:p w14:paraId="5ECFA388" w14:textId="2412E426" w:rsidR="006F762E" w:rsidRPr="00CD50CC" w:rsidRDefault="006F762E" w:rsidP="00C85C02">
            <w:pPr>
              <w:pStyle w:val="ListParagraph"/>
              <w:numPr>
                <w:ilvl w:val="1"/>
                <w:numId w:val="37"/>
              </w:numPr>
              <w:adjustRightInd w:val="0"/>
              <w:spacing w:line="240" w:lineRule="auto"/>
              <w:contextualSpacing w:val="0"/>
            </w:pPr>
            <w:r>
              <w:t>Lefel y ddealltwriaeth y mae angen i weithredwyr ei chael o wybodaeth am ddeddfwriaeth a chanllawiau swyddogol perthnasol cyfredol a sut mae eu defnyddio</w:t>
            </w:r>
          </w:p>
        </w:tc>
        <w:tc>
          <w:tcPr>
            <w:tcW w:w="7261" w:type="dxa"/>
            <w:tcMar>
              <w:top w:w="108" w:type="dxa"/>
              <w:bottom w:w="108" w:type="dxa"/>
            </w:tcMar>
          </w:tcPr>
          <w:p w14:paraId="66EF5158" w14:textId="365249C2" w:rsidR="005740E2" w:rsidRDefault="007A651C" w:rsidP="005740E2">
            <w:pPr>
              <w:pStyle w:val="Normalbulletlist"/>
            </w:pPr>
            <w:r>
              <w:t>Dylai lefel dealltwriaeth dysgwyr ymwneud yn uniongyrchol â’r gwaith a wneir gan y gweithiwr.</w:t>
            </w:r>
          </w:p>
          <w:p w14:paraId="27E8817C" w14:textId="3BEC3A8B" w:rsidR="006F762E" w:rsidRPr="00C85C02" w:rsidRDefault="00CB4DF5" w:rsidP="005740E2">
            <w:pPr>
              <w:pStyle w:val="Normalbulletlist"/>
            </w:pPr>
            <w:r>
              <w:t xml:space="preserve">Bydd dysgwyr yn defnyddio deddfwriaeth gyfredol a chanllawiau swyddogol drwy gyfarwyddiadau gweithio, sgyrsiau blwch offer, Datganiadau Dull Asesu Risg (RAMS), sesiynau cynefino diogelwch. </w:t>
            </w:r>
          </w:p>
          <w:p w14:paraId="6812392B" w14:textId="40722163" w:rsidR="005740E2" w:rsidRDefault="00CB4DF5" w:rsidP="03FB03DC">
            <w:pPr>
              <w:pStyle w:val="Normalbulletlist"/>
            </w:pPr>
            <w:r>
              <w:t>Bydd dysgwyr yn gwybod am egwyddorion y darnau canlynol o ddeddfwriaeth:</w:t>
            </w:r>
          </w:p>
          <w:p w14:paraId="2F6FA101" w14:textId="53737C27" w:rsidR="005740E2" w:rsidRDefault="005740E2" w:rsidP="003B7EFA">
            <w:pPr>
              <w:pStyle w:val="Normalbulletsublist"/>
            </w:pPr>
            <w:r>
              <w:t>Rheoliadau adeiladu (fel y maent yn briodol i gynhyrchion gwaith coed)</w:t>
            </w:r>
          </w:p>
          <w:p w14:paraId="106ECFFE" w14:textId="6ED09A45" w:rsidR="00083275" w:rsidRDefault="00083275" w:rsidP="003B7EFA">
            <w:pPr>
              <w:pStyle w:val="Normalbulletsublist"/>
            </w:pPr>
            <w:r>
              <w:t>Rheoliadau Gweithio ar Uchder 2005 (WAH)</w:t>
            </w:r>
          </w:p>
          <w:p w14:paraId="70785746" w14:textId="63A78591" w:rsidR="005740E2" w:rsidRPr="005740E2" w:rsidRDefault="005740E2" w:rsidP="003B7EFA">
            <w:pPr>
              <w:pStyle w:val="Normalbulletsublist"/>
            </w:pPr>
            <w:r>
              <w:t>Deddf Iechyd a Diogelwch yn y Gwaith etc 1974 (HASAWA)</w:t>
            </w:r>
          </w:p>
          <w:p w14:paraId="7A8C034A" w14:textId="4BFDFB6E" w:rsidR="005740E2" w:rsidRDefault="00210F0A" w:rsidP="003B7EFA">
            <w:pPr>
              <w:pStyle w:val="Normalbulletsublist"/>
            </w:pPr>
            <w:r>
              <w:lastRenderedPageBreak/>
              <w:t xml:space="preserve">Rheoliadau Darparu a Defnyddio Cyfarpar Gwaith 1998 (PUWER) </w:t>
            </w:r>
          </w:p>
          <w:p w14:paraId="5AFAE152" w14:textId="275300B7" w:rsidR="005740E2" w:rsidRDefault="00C541CE" w:rsidP="003B7EFA">
            <w:pPr>
              <w:pStyle w:val="Normalbulletsublist"/>
            </w:pPr>
            <w:r>
              <w:t>Codau Ymarfer Cymeradwy (ACOPs)</w:t>
            </w:r>
          </w:p>
          <w:p w14:paraId="3481F2CF" w14:textId="2583F8E4" w:rsidR="005740E2" w:rsidRDefault="009E6B97" w:rsidP="003B7EFA">
            <w:pPr>
              <w:pStyle w:val="Normalbulletsublist"/>
            </w:pPr>
            <w:r>
              <w:t xml:space="preserve">Rheoliadau Adrodd ar Anafiadau, Clefydau neu Ddigwyddiadau Peryglus 2013 (RIDDOR) </w:t>
            </w:r>
          </w:p>
          <w:p w14:paraId="320ED5BB" w14:textId="7F9CB8F0" w:rsidR="005740E2" w:rsidRDefault="002105E9" w:rsidP="003B7EFA">
            <w:pPr>
              <w:pStyle w:val="Normalbulletsublist"/>
            </w:pPr>
            <w:r>
              <w:t xml:space="preserve">Rheoliadau (Dylunio a Rheoli) Adeiladu 2015 (CDM) </w:t>
            </w:r>
          </w:p>
          <w:p w14:paraId="368DB765" w14:textId="18B466CC" w:rsidR="005740E2" w:rsidRDefault="00D84F37" w:rsidP="003B7EFA">
            <w:pPr>
              <w:pStyle w:val="Normalbulletsublist"/>
            </w:pPr>
            <w:r>
              <w:t>Rheoli Sylweddau Peryglus i Iechyd 2002 (COSHH)</w:t>
            </w:r>
          </w:p>
          <w:p w14:paraId="1921F8F2" w14:textId="3EA20F32" w:rsidR="005740E2" w:rsidRDefault="00196966" w:rsidP="003B7EFA">
            <w:pPr>
              <w:pStyle w:val="Normalbulletsublist"/>
            </w:pPr>
            <w:r>
              <w:t>Cyfarpar Diogelu Personol (PPE)</w:t>
            </w:r>
          </w:p>
          <w:p w14:paraId="5E7C76F3" w14:textId="720303AE" w:rsidR="005740E2" w:rsidRDefault="00AE6F53" w:rsidP="003B7EFA">
            <w:pPr>
              <w:pStyle w:val="Normalbulletsublist"/>
            </w:pPr>
            <w:r>
              <w:t>Rheoliadau Gweithrediadau Codi a Chyfarpar Codi (LOLER)</w:t>
            </w:r>
          </w:p>
          <w:p w14:paraId="1A328896" w14:textId="75779978" w:rsidR="005740E2" w:rsidRDefault="005740E2" w:rsidP="003B7EFA">
            <w:pPr>
              <w:pStyle w:val="Normalbulletsublist"/>
            </w:pPr>
            <w:r>
              <w:t>Rheoliadau Codi a Chario</w:t>
            </w:r>
          </w:p>
          <w:p w14:paraId="485A575D" w14:textId="77777777" w:rsidR="006F762E" w:rsidRDefault="005740E2" w:rsidP="003B7EFA">
            <w:pPr>
              <w:pStyle w:val="Normalbulletsublist"/>
            </w:pPr>
            <w:r>
              <w:t>Rheoliadau Sŵn yn y Gwaith</w:t>
            </w:r>
          </w:p>
          <w:p w14:paraId="51B0001A" w14:textId="67ED0531" w:rsidR="005132B1" w:rsidRPr="00CD50CC" w:rsidRDefault="005132B1" w:rsidP="005132B1">
            <w:pPr>
              <w:pStyle w:val="Normalbulletlist"/>
            </w:pPr>
            <w:r>
              <w:t xml:space="preserve">Bydd dysgwyr yn deall rolau awdurdodau lleol o ran cynllunio a Rheoli Adeiladu a chyda strwythurau treftadaeth gan gynnwys ymgynghori â Cadw. </w:t>
            </w:r>
          </w:p>
        </w:tc>
      </w:tr>
      <w:tr w:rsidR="006F762E" w:rsidRPr="00D979B1" w14:paraId="29D72156" w14:textId="77777777" w:rsidTr="03FB03DC">
        <w:tc>
          <w:tcPr>
            <w:tcW w:w="3627" w:type="dxa"/>
            <w:vMerge/>
            <w:tcMar>
              <w:top w:w="108" w:type="dxa"/>
              <w:bottom w:w="108" w:type="dxa"/>
            </w:tcMar>
          </w:tcPr>
          <w:p w14:paraId="47EBF320" w14:textId="5EECF9AD" w:rsidR="006F762E" w:rsidRPr="00CD50CC" w:rsidRDefault="006F762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4CB2F3D" w:rsidR="006F762E" w:rsidRPr="00CD50CC" w:rsidRDefault="006F762E" w:rsidP="00C85C02">
            <w:pPr>
              <w:pStyle w:val="ListParagraph"/>
              <w:numPr>
                <w:ilvl w:val="1"/>
                <w:numId w:val="37"/>
              </w:numPr>
              <w:adjustRightInd w:val="0"/>
              <w:spacing w:line="240" w:lineRule="auto"/>
              <w:contextualSpacing w:val="0"/>
            </w:pPr>
            <w:r>
              <w:t>Sut y dylid ymateb i argyfyngau a phwy ddylai ymateb</w:t>
            </w:r>
          </w:p>
        </w:tc>
        <w:tc>
          <w:tcPr>
            <w:tcW w:w="7261" w:type="dxa"/>
            <w:tcMar>
              <w:top w:w="108" w:type="dxa"/>
              <w:bottom w:w="108" w:type="dxa"/>
            </w:tcMar>
          </w:tcPr>
          <w:p w14:paraId="18079D0B" w14:textId="4DCFA828" w:rsidR="00540D74" w:rsidRDefault="00862AD0" w:rsidP="00540D74">
            <w:pPr>
              <w:pStyle w:val="Normalbulletlist"/>
            </w:pPr>
            <w:r>
              <w:t xml:space="preserve">Bydd dysgwyr yn gwybod sut i ymateb i sefyllfaoedd yn unol ag awdurdodiad sefydliadol a sgiliau personol wrth ymdrin â thanau, gollyngiadau, anafiadau ac argyfyngau. </w:t>
            </w:r>
          </w:p>
          <w:p w14:paraId="3F4A1FAA" w14:textId="3C1A98D3" w:rsidR="00540D74" w:rsidRDefault="00FA17BC" w:rsidP="00540D74">
            <w:pPr>
              <w:pStyle w:val="Normalbulletlist"/>
            </w:pPr>
            <w:r>
              <w:t>Bydd dysgwyr yn gwybod sut i ganu’r larwm ac adrodd i berson enwebedig.</w:t>
            </w:r>
          </w:p>
          <w:p w14:paraId="5FEFE198" w14:textId="6365B74F" w:rsidR="00540D74" w:rsidRPr="00540D74" w:rsidRDefault="00AB2948" w:rsidP="00540D74">
            <w:pPr>
              <w:pStyle w:val="Normalbulletlist"/>
            </w:pPr>
            <w:r>
              <w:t>Bydd dysgwyr yn gwybod sut mae adrodd yn uniongyrchol i’r gwasanaethau brys os oes angen.</w:t>
            </w:r>
          </w:p>
          <w:p w14:paraId="55AB9662" w14:textId="3697B294" w:rsidR="00540D74" w:rsidRPr="00540D74" w:rsidRDefault="002D2FBA" w:rsidP="00540D74">
            <w:pPr>
              <w:pStyle w:val="Normalbulletlist"/>
            </w:pPr>
            <w:r>
              <w:t>Bydd dysgwyr yn gwybod am y mathau o gyfarpar diffodd tân (dŵr, CO</w:t>
            </w:r>
            <w:r>
              <w:rPr>
                <w:vertAlign w:val="subscript"/>
              </w:rPr>
              <w:t>2</w:t>
            </w:r>
            <w:r>
              <w:t xml:space="preserve">, ewyn, powdr) a sut a phryd y cânt eu defnyddio ar gyfer gwahanol ddosbarthiadau o dân. </w:t>
            </w:r>
          </w:p>
          <w:p w14:paraId="61D7DB1F" w14:textId="503637AD" w:rsidR="006F762E" w:rsidRPr="00540D74" w:rsidRDefault="00396CC1" w:rsidP="00540D74">
            <w:pPr>
              <w:pStyle w:val="Normalbulletlist"/>
            </w:pPr>
            <w:r>
              <w:t xml:space="preserve">Bydd dysgwyr yn deall eu rôl a’u cyfrifoldeb o ran gwagio a phwyntiau ymgynnull. </w:t>
            </w:r>
          </w:p>
          <w:p w14:paraId="1F886419" w14:textId="53BB4526" w:rsidR="006D3932" w:rsidRPr="00D06783" w:rsidRDefault="00396CC1" w:rsidP="00540D74">
            <w:pPr>
              <w:pStyle w:val="Normalbulletlist"/>
            </w:pPr>
            <w:r>
              <w:t xml:space="preserve">Bydd dysgwyr yn gwybod am y gwahanol fathau o ollyngiadau, sut mae eu hatal a sut mae eu trwsio. </w:t>
            </w:r>
          </w:p>
          <w:p w14:paraId="0DBF7F92" w14:textId="4B02C9DA" w:rsidR="00540D74" w:rsidRPr="00540D74" w:rsidRDefault="00540D74" w:rsidP="00540D74">
            <w:pPr>
              <w:pStyle w:val="Normalbulletlist"/>
            </w:pPr>
            <w:r>
              <w:t>Bydd dysgwyr yn gwybod beth yw’r gweithdrefnau ar gyfer pecynnau gollyngiadau, arwyddion a sut mae cau’r ardal.</w:t>
            </w:r>
          </w:p>
          <w:p w14:paraId="39AC1CE2" w14:textId="74AAA2FE" w:rsidR="00540D74" w:rsidRPr="00540D74" w:rsidRDefault="0028114A" w:rsidP="00540D74">
            <w:pPr>
              <w:pStyle w:val="Normalbulletlist"/>
            </w:pPr>
            <w:r>
              <w:lastRenderedPageBreak/>
              <w:t xml:space="preserve">Bydd dysgwyr yn gwybod am y mathau o anafiadau a chyfrifoldebau cyffredin gan gynnwys pwy yw’r swyddog cymorth cyntaf a sut mae defnyddio pecyn cymorth cyntaf.  </w:t>
            </w:r>
          </w:p>
          <w:p w14:paraId="5AC099BF" w14:textId="0ED6045B" w:rsidR="00540D74" w:rsidRPr="00540D74" w:rsidRDefault="004B1055" w:rsidP="00540D74">
            <w:pPr>
              <w:pStyle w:val="Normalbulletlist"/>
            </w:pPr>
            <w:r>
              <w:t>Bydd dysgwyr yn deall sut mae rhoi gwybod am ddamweiniau mewn argyfwng sy’n ymwneud â gweithgareddau galwedigaethol, gan gynnwys atal, gweithdrefnau argyfwng, gwasanaethau brys, gweithdrefnau adrodd, mynedfeydd ac allanfeydd ar gyfer cerbydau argyfwng.</w:t>
            </w:r>
          </w:p>
        </w:tc>
      </w:tr>
      <w:tr w:rsidR="006F762E" w:rsidRPr="00D979B1" w14:paraId="47AC4A55" w14:textId="77777777" w:rsidTr="03FB03DC">
        <w:tc>
          <w:tcPr>
            <w:tcW w:w="3627" w:type="dxa"/>
            <w:vMerge/>
            <w:tcMar>
              <w:top w:w="108" w:type="dxa"/>
              <w:bottom w:w="108" w:type="dxa"/>
            </w:tcMar>
          </w:tcPr>
          <w:p w14:paraId="4F5969BD" w14:textId="77777777" w:rsidR="006F762E" w:rsidRPr="00CD50CC" w:rsidRDefault="006F762E" w:rsidP="004C6ADC">
            <w:pPr>
              <w:adjustRightInd w:val="0"/>
              <w:spacing w:line="240" w:lineRule="auto"/>
            </w:pPr>
          </w:p>
        </w:tc>
        <w:tc>
          <w:tcPr>
            <w:tcW w:w="3627" w:type="dxa"/>
            <w:tcMar>
              <w:top w:w="108" w:type="dxa"/>
              <w:bottom w:w="108" w:type="dxa"/>
            </w:tcMar>
          </w:tcPr>
          <w:p w14:paraId="343A5DDD" w14:textId="0912071C" w:rsidR="006F762E" w:rsidRPr="008A01E4" w:rsidRDefault="006F762E" w:rsidP="00C85C02">
            <w:pPr>
              <w:pStyle w:val="ListParagraph"/>
              <w:numPr>
                <w:ilvl w:val="1"/>
                <w:numId w:val="37"/>
              </w:numPr>
              <w:adjustRightInd w:val="0"/>
              <w:spacing w:line="240" w:lineRule="auto"/>
              <w:contextualSpacing w:val="0"/>
            </w:pPr>
            <w:r>
              <w:t>Gweithdrefnau diogelwch y sefydliad ar gyfer offer, cyfarpar ac eiddo personol</w:t>
            </w:r>
          </w:p>
        </w:tc>
        <w:tc>
          <w:tcPr>
            <w:tcW w:w="7261" w:type="dxa"/>
            <w:tcMar>
              <w:top w:w="108" w:type="dxa"/>
              <w:bottom w:w="108" w:type="dxa"/>
            </w:tcMar>
          </w:tcPr>
          <w:p w14:paraId="041672E1" w14:textId="525894DA" w:rsidR="00B569B0" w:rsidRDefault="004B1055" w:rsidP="00D640A8">
            <w:pPr>
              <w:pStyle w:val="Normalbulletlist"/>
            </w:pPr>
            <w:r>
              <w:t xml:space="preserve">Bydd dysgwyr yn deall gweithdrefnau diogelwch y sefydliad ar gyfer gwahanol sefyllfaoedd, gan gynnwys: </w:t>
            </w:r>
          </w:p>
          <w:p w14:paraId="7660F01C" w14:textId="1BE693F6" w:rsidR="00D640A8" w:rsidRPr="00342168" w:rsidRDefault="00F81E2A" w:rsidP="003B7EFA">
            <w:pPr>
              <w:pStyle w:val="Normalbulletsublist"/>
            </w:pPr>
            <w:r>
              <w:t>swyddogion diogelwch, gwyliadwriaeth</w:t>
            </w:r>
          </w:p>
          <w:p w14:paraId="7FE84E24" w14:textId="77C70853" w:rsidR="00D640A8" w:rsidRPr="00342168" w:rsidRDefault="004B1055" w:rsidP="003B7EFA">
            <w:pPr>
              <w:pStyle w:val="Normalbulletsublist"/>
            </w:pPr>
            <w:r>
              <w:t>y gweithle, gan gynnwys agor a chloi</w:t>
            </w:r>
          </w:p>
          <w:p w14:paraId="0E0AB18B" w14:textId="29974EB1" w:rsidR="00D640A8" w:rsidRPr="00342168" w:rsidRDefault="004B1055" w:rsidP="003B7EFA">
            <w:pPr>
              <w:pStyle w:val="Normalbulletsublist"/>
            </w:pPr>
            <w:r>
              <w:t>y cwmni, gan gynnwys mewngofnodi, gweithdrefnau awdurdodi ID</w:t>
            </w:r>
          </w:p>
          <w:p w14:paraId="1E1A768D" w14:textId="5B537F2B" w:rsidR="00540D74" w:rsidRPr="00D640A8" w:rsidRDefault="00F81E2A" w:rsidP="003B7EFA">
            <w:pPr>
              <w:pStyle w:val="Normalbulletsublist"/>
            </w:pPr>
            <w:r>
              <w:t xml:space="preserve">y gweithiwr, gan gynnwys diogelwch offer, deunyddiau, cyfarpar a cherbydau, eiddo personol yn cael ei guddio o’r golwg wrth weithio </w:t>
            </w:r>
          </w:p>
          <w:p w14:paraId="6E25F4A9" w14:textId="69DC27CB" w:rsidR="00540D74" w:rsidRDefault="00F81E2A" w:rsidP="003B7EFA">
            <w:pPr>
              <w:pStyle w:val="Normalbulletsublist"/>
            </w:pPr>
            <w:r>
              <w:t>dylid diogelu offer a chyfarpar pan na fyddant yn cael eu defnyddio</w:t>
            </w:r>
          </w:p>
          <w:p w14:paraId="3E2FB7D5" w14:textId="3DEF8D0F" w:rsidR="006F762E" w:rsidRPr="00CD50CC" w:rsidRDefault="00F81E2A" w:rsidP="003B7EFA">
            <w:pPr>
              <w:pStyle w:val="Normalbulletsublist"/>
            </w:pPr>
            <w:r>
              <w:t>na ddylid mynd ag eiddo personol nad yw’n hanfodol i’r gwaith.</w:t>
            </w:r>
          </w:p>
        </w:tc>
      </w:tr>
      <w:tr w:rsidR="006F762E" w:rsidRPr="00D979B1" w14:paraId="06034E0E" w14:textId="77777777" w:rsidTr="03FB03DC">
        <w:tc>
          <w:tcPr>
            <w:tcW w:w="3627" w:type="dxa"/>
            <w:vMerge/>
            <w:tcMar>
              <w:top w:w="108" w:type="dxa"/>
              <w:bottom w:w="108" w:type="dxa"/>
            </w:tcMar>
          </w:tcPr>
          <w:p w14:paraId="71603028" w14:textId="77777777" w:rsidR="006F762E" w:rsidRPr="00CD50CC" w:rsidRDefault="006F762E" w:rsidP="004C6ADC">
            <w:pPr>
              <w:adjustRightInd w:val="0"/>
              <w:spacing w:line="240" w:lineRule="auto"/>
            </w:pPr>
          </w:p>
        </w:tc>
        <w:tc>
          <w:tcPr>
            <w:tcW w:w="3627" w:type="dxa"/>
            <w:tcMar>
              <w:top w:w="108" w:type="dxa"/>
              <w:bottom w:w="108" w:type="dxa"/>
            </w:tcMar>
          </w:tcPr>
          <w:p w14:paraId="122457BC" w14:textId="3CCFEA44" w:rsidR="006F762E" w:rsidRPr="004C6ADC" w:rsidRDefault="006F762E" w:rsidP="00C85C02">
            <w:pPr>
              <w:pStyle w:val="ListParagraph"/>
              <w:numPr>
                <w:ilvl w:val="1"/>
                <w:numId w:val="37"/>
              </w:numPr>
              <w:adjustRightInd w:val="0"/>
              <w:spacing w:line="240" w:lineRule="auto"/>
              <w:contextualSpacing w:val="0"/>
            </w:pPr>
            <w:r>
              <w:t>Beth yw'r gweithdrefnau ar gyfer riportio damweiniau a phwy sy'n gyfrifol am wneud hynny</w:t>
            </w:r>
          </w:p>
        </w:tc>
        <w:tc>
          <w:tcPr>
            <w:tcW w:w="7261" w:type="dxa"/>
            <w:tcMar>
              <w:top w:w="108" w:type="dxa"/>
              <w:bottom w:w="108" w:type="dxa"/>
            </w:tcMar>
          </w:tcPr>
          <w:p w14:paraId="744C9CBC" w14:textId="029F0CC8" w:rsidR="00D640A8" w:rsidRDefault="00B95628" w:rsidP="00D640A8">
            <w:pPr>
              <w:pStyle w:val="Normalbulletlist"/>
            </w:pPr>
            <w:r>
              <w:t>Bydd dysgwyr yn gwybod sut mae rhoi gwybod i’r person enwebedig ar y safle.</w:t>
            </w:r>
          </w:p>
          <w:p w14:paraId="30F41946" w14:textId="73F6ABD0" w:rsidR="00035875" w:rsidRDefault="00B95628" w:rsidP="00035875">
            <w:pPr>
              <w:pStyle w:val="Normalbulletlist"/>
            </w:pPr>
            <w:r>
              <w:t xml:space="preserve">Bydd dysgwyr yn gwybod sut i gofnodi’r holl fanylion perthnasol yn y llyfr damweiniau. </w:t>
            </w:r>
          </w:p>
          <w:p w14:paraId="3A25C219" w14:textId="443CA9C0" w:rsidR="00D640A8" w:rsidRPr="00035875" w:rsidRDefault="00B95628" w:rsidP="00035875">
            <w:pPr>
              <w:pStyle w:val="Normalbulletlist"/>
            </w:pPr>
            <w:r>
              <w:t>Bydd dysgwyr yn gwybod sut i ddefnyddio’r llyfr cofnodi ar gyfer mân ddamweiniau a sut i gofnodi damweiniau fu bron â digwydd, gan gynnwys y gweithdrefnau adolygu ac ail-werthuso sydd ar waith.</w:t>
            </w:r>
          </w:p>
          <w:p w14:paraId="097C4AE4" w14:textId="7338780B" w:rsidR="00035875" w:rsidRDefault="00B95628" w:rsidP="00035875">
            <w:pPr>
              <w:pStyle w:val="Normalbulletlist"/>
            </w:pPr>
            <w:r>
              <w:t xml:space="preserve">Bydd dysgwyr yn deall bod y person sydd wedi cael/gweld y ddamwain yn gyfrifol am adrodd neu fod yn dyst os nad yw’r person yn gallu gwneud hynny. </w:t>
            </w:r>
          </w:p>
          <w:p w14:paraId="4D183B5D" w14:textId="217B87AF" w:rsidR="00D640A8" w:rsidRPr="00035875" w:rsidRDefault="00B95628" w:rsidP="00035875">
            <w:pPr>
              <w:pStyle w:val="Normalbulletlist"/>
            </w:pPr>
            <w:r>
              <w:lastRenderedPageBreak/>
              <w:t xml:space="preserve">Bydd dysgwyr yn gwybod sut mae rhoi gwybod am ddigwyddiadau perthnasol i’r Awdurdod Gweithredol Iechyd a Diogelwch a gofynion RIDDOR.  </w:t>
            </w:r>
          </w:p>
          <w:p w14:paraId="2DF96244" w14:textId="592A4B37" w:rsidR="00D640A8" w:rsidRDefault="00041D6F" w:rsidP="00D640A8">
            <w:pPr>
              <w:pStyle w:val="Normalbulletlist"/>
            </w:pPr>
            <w:r>
              <w:t xml:space="preserve">Bydd dysgwyr yn deall sut mae swyddogion cymorth cyntaf yn cael eu hadnabod yn y gweithle. </w:t>
            </w:r>
          </w:p>
          <w:p w14:paraId="4C71D763" w14:textId="70DA8F73" w:rsidR="00D640A8" w:rsidRDefault="00041D6F" w:rsidP="00D640A8">
            <w:pPr>
              <w:pStyle w:val="Normalbulletlist"/>
            </w:pPr>
            <w:r>
              <w:t>Bydd dysgwyr yn gwybod faint o bobl y mae angen eu hyfforddi’n briodol ar gyfer cymorth cyntaf.</w:t>
            </w:r>
          </w:p>
          <w:p w14:paraId="17467BAD" w14:textId="0458E331" w:rsidR="006F762E" w:rsidRPr="00035875" w:rsidRDefault="008105EA" w:rsidP="00035875">
            <w:pPr>
              <w:pStyle w:val="Normalbulletlist"/>
            </w:pPr>
            <w:r>
              <w:t>Bydd dysgwyr yn gwybod sut i gymryd cyfrifoldeb gweithredol dros iechyd, diogelwch a lles.</w:t>
            </w:r>
          </w:p>
        </w:tc>
      </w:tr>
      <w:tr w:rsidR="006F762E" w:rsidRPr="00D979B1" w14:paraId="526E87FD" w14:textId="77777777" w:rsidTr="03FB03DC">
        <w:tc>
          <w:tcPr>
            <w:tcW w:w="3627" w:type="dxa"/>
            <w:vMerge/>
            <w:tcMar>
              <w:top w:w="108" w:type="dxa"/>
              <w:bottom w:w="108" w:type="dxa"/>
            </w:tcMar>
          </w:tcPr>
          <w:p w14:paraId="5F2C29FE" w14:textId="77777777" w:rsidR="006F762E" w:rsidRPr="00CD50CC" w:rsidRDefault="006F762E" w:rsidP="004C6ADC">
            <w:pPr>
              <w:adjustRightInd w:val="0"/>
              <w:spacing w:line="240" w:lineRule="auto"/>
            </w:pPr>
          </w:p>
        </w:tc>
        <w:tc>
          <w:tcPr>
            <w:tcW w:w="3627" w:type="dxa"/>
            <w:tcMar>
              <w:top w:w="108" w:type="dxa"/>
              <w:bottom w:w="108" w:type="dxa"/>
            </w:tcMar>
          </w:tcPr>
          <w:p w14:paraId="3C53D45C" w14:textId="14ADAB28" w:rsidR="006F762E" w:rsidRPr="00AE0F75" w:rsidRDefault="006F762E" w:rsidP="00C85C02">
            <w:pPr>
              <w:pStyle w:val="ListParagraph"/>
              <w:numPr>
                <w:ilvl w:val="1"/>
                <w:numId w:val="37"/>
              </w:numPr>
              <w:adjustRightInd w:val="0"/>
              <w:spacing w:line="240" w:lineRule="auto"/>
              <w:contextualSpacing w:val="0"/>
            </w:pPr>
            <w:r>
              <w:t>Pam, pryd a sut y dylid defnyddio cyfarpar rheoli iechyd a diogelwch</w:t>
            </w:r>
          </w:p>
        </w:tc>
        <w:tc>
          <w:tcPr>
            <w:tcW w:w="7261" w:type="dxa"/>
            <w:tcMar>
              <w:top w:w="108" w:type="dxa"/>
              <w:bottom w:w="108" w:type="dxa"/>
            </w:tcMar>
          </w:tcPr>
          <w:p w14:paraId="7D2B092C" w14:textId="348D56CC" w:rsidR="00035875" w:rsidRDefault="008105EA" w:rsidP="00035875">
            <w:pPr>
              <w:pStyle w:val="Normalbulletlist"/>
            </w:pPr>
            <w:r>
              <w:t>Bydd gan ddysgwyr Gyfarpar Diogelu Personol (PPE) a Chyfarpar Diogelu Resbiradol (RPE) wedi’u gwirio fel rhai sy’n briodol ar gyfer y gwaith, mewn cyflwr da ac wedi’u defnyddio’n gywir. Bydd hyn yn cynnwys esgidiau, amddiffynwyr clustiau, menig, masgiau llwch ac anadlyddion.</w:t>
            </w:r>
          </w:p>
          <w:p w14:paraId="77069427" w14:textId="5BB4AF1A" w:rsidR="006F762E" w:rsidRPr="00853289" w:rsidRDefault="00A576E4" w:rsidP="00853289">
            <w:pPr>
              <w:pStyle w:val="Normalbulletlist"/>
            </w:pPr>
            <w:r>
              <w:t xml:space="preserve">Bydd dysgwyr yn gwybod sut mae dewis, defnyddio a chynnal a chadw PPE, RPE ac Awyru Lleol sy’n Gwacau Mygdarth (LEV) yn gywir, gan gynnwys gwybodaeth am sbectolau effaith uchel, gogls, amddiffynwyr clustiau, esgidiau diogelwch, masgiau llwch (gan gynnwys profion ffitio’r wyneb), menig priodol ac amddiffyniad i ddillad. </w:t>
            </w:r>
          </w:p>
        </w:tc>
      </w:tr>
      <w:tr w:rsidR="006F762E" w:rsidRPr="00D979B1" w14:paraId="7E02DE99" w14:textId="77777777" w:rsidTr="03FB03DC">
        <w:tc>
          <w:tcPr>
            <w:tcW w:w="3627" w:type="dxa"/>
            <w:vMerge/>
            <w:tcMar>
              <w:top w:w="108" w:type="dxa"/>
              <w:bottom w:w="108" w:type="dxa"/>
            </w:tcMar>
          </w:tcPr>
          <w:p w14:paraId="0BFA230D" w14:textId="77777777" w:rsidR="006F762E" w:rsidRPr="00CD50CC" w:rsidRDefault="006F762E" w:rsidP="004C6ADC">
            <w:pPr>
              <w:adjustRightInd w:val="0"/>
              <w:spacing w:line="240" w:lineRule="auto"/>
            </w:pPr>
          </w:p>
        </w:tc>
        <w:tc>
          <w:tcPr>
            <w:tcW w:w="3627" w:type="dxa"/>
            <w:tcMar>
              <w:top w:w="108" w:type="dxa"/>
              <w:bottom w:w="108" w:type="dxa"/>
            </w:tcMar>
          </w:tcPr>
          <w:p w14:paraId="161F594E" w14:textId="5FE48A58" w:rsidR="006F762E" w:rsidRPr="00926435" w:rsidRDefault="006F762E" w:rsidP="00C85C02">
            <w:pPr>
              <w:pStyle w:val="ListParagraph"/>
              <w:numPr>
                <w:ilvl w:val="1"/>
                <w:numId w:val="37"/>
              </w:numPr>
              <w:adjustRightInd w:val="0"/>
              <w:spacing w:line="240" w:lineRule="auto"/>
              <w:contextualSpacing w:val="0"/>
            </w:pPr>
            <w:r>
              <w:t>Sut mae cydymffurfio ag arferion gweithio sy'n amgylcheddol gyfrifol er mwyn bodloni deddfwriaeth a chanllawiau swyddogol cyfredol</w:t>
            </w:r>
          </w:p>
        </w:tc>
        <w:tc>
          <w:tcPr>
            <w:tcW w:w="7261" w:type="dxa"/>
            <w:tcMar>
              <w:top w:w="108" w:type="dxa"/>
              <w:bottom w:w="108" w:type="dxa"/>
            </w:tcMar>
          </w:tcPr>
          <w:p w14:paraId="46550B8E" w14:textId="2D479DBD" w:rsidR="006F762E" w:rsidRPr="00035875" w:rsidRDefault="00F864C6" w:rsidP="00EA4ADD">
            <w:pPr>
              <w:pStyle w:val="Normalbulletlist"/>
            </w:pPr>
            <w:r>
              <w:t>Bydd dysgwyr yn gwybod sut mae cydymffurfio ag arferion gwaith sy’n amgylcheddol gyfrifol er mwyn bodloni’r ddeddfwriaeth gyfredol a chanllawiau swyddogol, gan gynnwys: cynllun rheoli gwastraff safle (SWMP); ailgylchu; ailddefnyddio; gwastraff wedi’i ddidoli; cofnod defnyddwyr sydd wedi’u hawdurdodi i ddefnyddio peiriannau.</w:t>
            </w:r>
          </w:p>
          <w:p w14:paraId="47A91410" w14:textId="5F6F3734" w:rsidR="00035875" w:rsidRDefault="00F864C6" w:rsidP="00035875">
            <w:pPr>
              <w:pStyle w:val="Normalbulletlist"/>
            </w:pPr>
            <w:r>
              <w:t>Bydd dysgwyr yn sicrhau bod gwastraff yn cael ei leihau a’i waredu yn y modd cywir yn unol â chyfarwyddiadau gweithio.</w:t>
            </w:r>
          </w:p>
          <w:p w14:paraId="4BB1C5EC" w14:textId="3E5D75A3" w:rsidR="00035875" w:rsidRPr="00CD50CC" w:rsidRDefault="00F864C6" w:rsidP="00035875">
            <w:pPr>
              <w:pStyle w:val="Normalbulletlist"/>
            </w:pPr>
            <w:r>
              <w:lastRenderedPageBreak/>
              <w:t xml:space="preserve">Bydd dysgwyr yn rhoi gwybod am unrhyw ddeunyddiau a allai fod yn beryglus neu sydd wedi gollwng i’r person enwebedig. </w:t>
            </w:r>
          </w:p>
        </w:tc>
      </w:tr>
      <w:tr w:rsidR="006F762E" w:rsidRPr="00D979B1" w14:paraId="2A1E01F0" w14:textId="77777777" w:rsidTr="03FB03DC">
        <w:tc>
          <w:tcPr>
            <w:tcW w:w="3627" w:type="dxa"/>
            <w:vMerge w:val="restart"/>
            <w:tcMar>
              <w:top w:w="108" w:type="dxa"/>
              <w:bottom w:w="108" w:type="dxa"/>
            </w:tcMar>
          </w:tcPr>
          <w:p w14:paraId="48CBDD18" w14:textId="76F061F8" w:rsidR="006F762E" w:rsidRPr="00CD50CC" w:rsidRDefault="00A06CAD" w:rsidP="00C85C02">
            <w:pPr>
              <w:pStyle w:val="ListParagraph"/>
              <w:numPr>
                <w:ilvl w:val="0"/>
                <w:numId w:val="37"/>
              </w:numPr>
              <w:adjustRightInd w:val="0"/>
              <w:spacing w:line="240" w:lineRule="auto"/>
              <w:contextualSpacing w:val="0"/>
            </w:pPr>
            <w:r>
              <w:lastRenderedPageBreak/>
              <w:t>Deall sut mae lleihau’r risg o ddifrod</w:t>
            </w:r>
          </w:p>
        </w:tc>
        <w:tc>
          <w:tcPr>
            <w:tcW w:w="3627" w:type="dxa"/>
            <w:tcMar>
              <w:top w:w="108" w:type="dxa"/>
              <w:bottom w:w="108" w:type="dxa"/>
            </w:tcMar>
          </w:tcPr>
          <w:p w14:paraId="7B0A6564" w14:textId="2F654898" w:rsidR="006F762E" w:rsidRDefault="006F762E" w:rsidP="004546B2">
            <w:pPr>
              <w:pStyle w:val="ListParagraph"/>
              <w:numPr>
                <w:ilvl w:val="1"/>
                <w:numId w:val="37"/>
              </w:numPr>
              <w:adjustRightInd w:val="0"/>
              <w:spacing w:line="240" w:lineRule="auto"/>
            </w:pPr>
            <w:r>
              <w:t>Sut mae diogelu gwaith rhag difrod a phwrpas diogelu</w:t>
            </w:r>
          </w:p>
          <w:p w14:paraId="4FEDC3CA" w14:textId="1721EB91" w:rsidR="006F762E" w:rsidRPr="00CD50CC" w:rsidRDefault="006F762E" w:rsidP="00C97DC0">
            <w:pPr>
              <w:pStyle w:val="ListParagraph"/>
              <w:adjustRightInd w:val="0"/>
              <w:spacing w:line="240" w:lineRule="auto"/>
              <w:ind w:left="229"/>
              <w:contextualSpacing w:val="0"/>
            </w:pPr>
          </w:p>
        </w:tc>
        <w:tc>
          <w:tcPr>
            <w:tcW w:w="7261" w:type="dxa"/>
            <w:tcMar>
              <w:top w:w="108" w:type="dxa"/>
              <w:bottom w:w="108" w:type="dxa"/>
            </w:tcMar>
          </w:tcPr>
          <w:p w14:paraId="167950C4" w14:textId="130D1689" w:rsidR="006F762E" w:rsidRDefault="00C54C05" w:rsidP="00035875">
            <w:pPr>
              <w:pStyle w:val="Normalbulletlist"/>
            </w:pPr>
            <w:r>
              <w:t>Bydd dysgwyr yn deall mai pwrpas diogelu yw lleihau’r risg o ddifrod i ddeunyddiau, cydrannau a chynnyrch gorffenedig, ac atal anafiadau personol.</w:t>
            </w:r>
          </w:p>
          <w:p w14:paraId="6F7D0461" w14:textId="36346FFE" w:rsidR="00035875" w:rsidRPr="00CD50CC" w:rsidRDefault="00C54C05" w:rsidP="00AB2E79">
            <w:pPr>
              <w:pStyle w:val="Normalbulletlist"/>
            </w:pPr>
            <w:r>
              <w:t>Bydd dysgwyr yn gwybod sut mae defnyddio deunyddiau gwarchodol (papur swigod, cardbord gwrymiog, mesurau diogelu naturiol fel cyrn ar estyll drysau).</w:t>
            </w:r>
          </w:p>
        </w:tc>
      </w:tr>
      <w:tr w:rsidR="006F762E" w:rsidRPr="00D979B1" w14:paraId="45E6F57F" w14:textId="77777777" w:rsidTr="03FB03DC">
        <w:tc>
          <w:tcPr>
            <w:tcW w:w="3627" w:type="dxa"/>
            <w:vMerge/>
            <w:tcMar>
              <w:top w:w="108" w:type="dxa"/>
              <w:bottom w:w="108" w:type="dxa"/>
            </w:tcMar>
          </w:tcPr>
          <w:p w14:paraId="52B146CB" w14:textId="77777777" w:rsidR="006F762E" w:rsidRPr="007F54BF" w:rsidRDefault="006F762E" w:rsidP="00FD176D">
            <w:pPr>
              <w:adjustRightInd w:val="0"/>
              <w:spacing w:line="240" w:lineRule="auto"/>
            </w:pPr>
          </w:p>
        </w:tc>
        <w:tc>
          <w:tcPr>
            <w:tcW w:w="3627" w:type="dxa"/>
            <w:tcMar>
              <w:top w:w="108" w:type="dxa"/>
              <w:bottom w:w="108" w:type="dxa"/>
            </w:tcMar>
          </w:tcPr>
          <w:p w14:paraId="75F5C005" w14:textId="46A20AD4" w:rsidR="006F762E" w:rsidRPr="00BF5906" w:rsidRDefault="006F762E" w:rsidP="00C85C02">
            <w:pPr>
              <w:pStyle w:val="ListParagraph"/>
              <w:numPr>
                <w:ilvl w:val="1"/>
                <w:numId w:val="37"/>
              </w:numPr>
              <w:adjustRightInd w:val="0"/>
              <w:spacing w:line="240" w:lineRule="auto"/>
              <w:contextualSpacing w:val="0"/>
            </w:pPr>
            <w:r>
              <w:t>Pam y dylid gwaredu gwastraff yn ddiogel a sut y gwneir hynny</w:t>
            </w:r>
          </w:p>
        </w:tc>
        <w:tc>
          <w:tcPr>
            <w:tcW w:w="7261" w:type="dxa"/>
            <w:tcMar>
              <w:top w:w="108" w:type="dxa"/>
              <w:bottom w:w="108" w:type="dxa"/>
            </w:tcMar>
          </w:tcPr>
          <w:p w14:paraId="46A95C84" w14:textId="08B9C7DC" w:rsidR="00462BA5" w:rsidRDefault="0020643D" w:rsidP="00462BA5">
            <w:pPr>
              <w:pStyle w:val="Normalbulletlist"/>
            </w:pPr>
            <w:r>
              <w:t>Bydd dysgwyr yn deall bod gwaredu gwastraff yn ddiogel yn bwysig er mwyn sicrhau cydymffurfiad â’r rheoliadau presennol a lleihau’r risg o anaf a/neu salwch</w:t>
            </w:r>
          </w:p>
          <w:p w14:paraId="6FD47DB1" w14:textId="4FA3B2B2" w:rsidR="00462BA5" w:rsidRPr="00CD50CC" w:rsidRDefault="0020643D" w:rsidP="00853289">
            <w:pPr>
              <w:pStyle w:val="Normalbulletlist"/>
            </w:pPr>
            <w:r>
              <w:t xml:space="preserve">Bydd dysgwyr yn gwybod y bydd gwastraff yn cael ei waredu yn unol â rheoliadau COSHH a/neu RAMS/cyfarwyddiadau gweithio gan gynnwys y SWMP, gan gynnwys casglu gwastraff pren (siafins, blawd llif a llwch sandio mân). </w:t>
            </w:r>
          </w:p>
        </w:tc>
      </w:tr>
      <w:tr w:rsidR="00230E5C" w:rsidRPr="00D979B1" w14:paraId="22F21C00" w14:textId="77777777" w:rsidTr="03FB03DC">
        <w:tc>
          <w:tcPr>
            <w:tcW w:w="3627" w:type="dxa"/>
            <w:tcMar>
              <w:top w:w="108" w:type="dxa"/>
              <w:bottom w:w="108" w:type="dxa"/>
            </w:tcMar>
          </w:tcPr>
          <w:p w14:paraId="3BB1BABC" w14:textId="7D62F26B" w:rsidR="00230E5C" w:rsidRPr="007F54BF" w:rsidRDefault="008F3C1A" w:rsidP="00230E5C">
            <w:pPr>
              <w:pStyle w:val="ListParagraph"/>
              <w:numPr>
                <w:ilvl w:val="0"/>
                <w:numId w:val="37"/>
              </w:numPr>
              <w:adjustRightInd w:val="0"/>
              <w:spacing w:line="240" w:lineRule="auto"/>
            </w:pPr>
            <w:r>
              <w:t>Deall gweithio i derfynau amser</w:t>
            </w:r>
          </w:p>
        </w:tc>
        <w:tc>
          <w:tcPr>
            <w:tcW w:w="3627" w:type="dxa"/>
            <w:tcMar>
              <w:top w:w="108" w:type="dxa"/>
              <w:bottom w:w="108" w:type="dxa"/>
            </w:tcMar>
          </w:tcPr>
          <w:p w14:paraId="2C559BCF" w14:textId="79C8B485" w:rsidR="00230E5C" w:rsidRDefault="0061604E" w:rsidP="00C85C02">
            <w:pPr>
              <w:pStyle w:val="ListParagraph"/>
              <w:numPr>
                <w:ilvl w:val="1"/>
                <w:numId w:val="37"/>
              </w:numPr>
              <w:adjustRightInd w:val="0"/>
              <w:spacing w:line="240" w:lineRule="auto"/>
              <w:contextualSpacing w:val="0"/>
            </w:pPr>
            <w:r>
              <w:t>Sut mae gwaith yn cael ei wneud er mwyn cyflawni’r rhaglen o fewn yr amser a drefnwyd a phwysigrwydd terfynau amser</w:t>
            </w:r>
          </w:p>
        </w:tc>
        <w:tc>
          <w:tcPr>
            <w:tcW w:w="7261" w:type="dxa"/>
            <w:tcMar>
              <w:top w:w="108" w:type="dxa"/>
              <w:bottom w:w="108" w:type="dxa"/>
            </w:tcMar>
          </w:tcPr>
          <w:p w14:paraId="51B8DD3C" w14:textId="1CFC74B0" w:rsidR="00CD37DA" w:rsidRDefault="00C94335" w:rsidP="00460244">
            <w:pPr>
              <w:pStyle w:val="Normalbulletlist"/>
            </w:pPr>
            <w:r>
              <w:t xml:space="preserve">Bydd dysgwyr yn deall: </w:t>
            </w:r>
          </w:p>
          <w:p w14:paraId="4FC8E66B" w14:textId="2C024977" w:rsidR="00460244" w:rsidRPr="00460244" w:rsidRDefault="00F81E2A" w:rsidP="003B7EFA">
            <w:pPr>
              <w:pStyle w:val="Normalbulletsublist"/>
            </w:pPr>
            <w:r>
              <w:t>sut mae gweithgareddau gwaith, deunyddiau a llafur yn cael eu dyrannu i fodloni’r amserlen sy’n ofynnol o fewn y rhaglen, a pham mae angen cadw at y terfynau amser a nodwyd</w:t>
            </w:r>
          </w:p>
          <w:p w14:paraId="49275B9A" w14:textId="6EC93531" w:rsidR="00C85D19" w:rsidRPr="00C85D19" w:rsidRDefault="00F81E2A" w:rsidP="003B7EFA">
            <w:pPr>
              <w:pStyle w:val="Normalbulletsublist"/>
            </w:pPr>
            <w:r>
              <w:t>mathau o dargedau cynhyrchiant ac amserlenni</w:t>
            </w:r>
          </w:p>
          <w:p w14:paraId="586AC82C" w14:textId="06CDED72" w:rsidR="00A42515" w:rsidRPr="00D06783" w:rsidRDefault="00460244" w:rsidP="003B7EFA">
            <w:pPr>
              <w:pStyle w:val="Normalbulletsublist"/>
            </w:pPr>
            <w:r>
              <w:t>sut mae amseroedd yn cael eu hamcangyfrif a’r amgylchiadau a fydd yn effeithio ar y rhaglen waith, gan gynnwys argaeledd llafur ac adnoddau</w:t>
            </w:r>
          </w:p>
          <w:p w14:paraId="7CB58A6A" w14:textId="2F7B1608" w:rsidR="00460244" w:rsidRPr="00460244" w:rsidRDefault="00C85D19" w:rsidP="003B7EFA">
            <w:pPr>
              <w:pStyle w:val="Normalbulletsublist"/>
            </w:pPr>
            <w:r>
              <w:t>effaith ddilynol trin a storio gwael sy’n achosi difrod i ddeunyddiau, a dysgwyr i sicrhau y rhoddir gwybod am y rhain cyn gynted â phosibl, a’r atebion a geisir</w:t>
            </w:r>
          </w:p>
          <w:p w14:paraId="24E17AD2" w14:textId="67649D77" w:rsidR="00D53346" w:rsidRPr="00460244" w:rsidRDefault="00F81E2A" w:rsidP="003B7EFA">
            <w:pPr>
              <w:pStyle w:val="Normalbulletsublist"/>
            </w:pPr>
            <w:r>
              <w:lastRenderedPageBreak/>
              <w:t xml:space="preserve">cymalau cosb, ffioedd cadw, ac enw da a’r goblygiadau ar grefftau eraill os bydd y gwaith yn disgyn ar ei hôl hi </w:t>
            </w:r>
          </w:p>
          <w:p w14:paraId="59080E0A" w14:textId="2008F77E" w:rsidR="00460244" w:rsidRDefault="00665347" w:rsidP="003B7EFA">
            <w:pPr>
              <w:pStyle w:val="Normalbulletsublist"/>
            </w:pPr>
            <w:r>
              <w:t>sut mae cadw amser da ac agwedd dda at waith yn cael eu cynnal</w:t>
            </w:r>
          </w:p>
          <w:p w14:paraId="250F6A14" w14:textId="20D465A3" w:rsidR="00460244" w:rsidRDefault="00335B1E" w:rsidP="003B7EFA">
            <w:pPr>
              <w:pStyle w:val="Normalbulletsublist"/>
            </w:pPr>
            <w:r>
              <w:t>bod cynnydd yn cael ei fonitro drwy adolygu cynhyrchiant, taflenni amser a chyfathrebu ar lafar rhwng y gweithwyr a’u cyflogwyr</w:t>
            </w:r>
          </w:p>
          <w:p w14:paraId="6B47220C" w14:textId="0CDD9DB3" w:rsidR="00230E5C" w:rsidRPr="00CD50CC" w:rsidRDefault="00665347" w:rsidP="003B7EFA">
            <w:pPr>
              <w:pStyle w:val="Normalbulletsublist"/>
            </w:pPr>
            <w:r>
              <w:t>pwysigrwydd terfynau amser ar gyfer llif arian, effeithiau posibl ar gamau adeiladu eraill, trosglwyddo, enw da’r cwmni a gwaith arall wedi’i drefnu.</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9A14C" w14:textId="77777777" w:rsidR="00C75ED5" w:rsidRDefault="00C75ED5">
      <w:pPr>
        <w:spacing w:before="0" w:after="0"/>
      </w:pPr>
      <w:r>
        <w:separator/>
      </w:r>
    </w:p>
  </w:endnote>
  <w:endnote w:type="continuationSeparator" w:id="0">
    <w:p w14:paraId="5E87F9A1" w14:textId="77777777" w:rsidR="00C75ED5" w:rsidRDefault="00C75ED5">
      <w:pPr>
        <w:spacing w:before="0" w:after="0"/>
      </w:pPr>
      <w:r>
        <w:continuationSeparator/>
      </w:r>
    </w:p>
  </w:endnote>
  <w:endnote w:type="continuationNotice" w:id="1">
    <w:p w14:paraId="581ED0F8" w14:textId="77777777" w:rsidR="00C75ED5" w:rsidRDefault="00C75E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AC86" w14:textId="77777777" w:rsidR="006713EE" w:rsidRDefault="00671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fldSimple w:instr="NUMPAGES   \* MERGEFORMAT">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3846" w14:textId="77777777" w:rsidR="006713EE" w:rsidRDefault="00671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266D6" w14:textId="77777777" w:rsidR="00C75ED5" w:rsidRDefault="00C75ED5">
      <w:pPr>
        <w:spacing w:before="0" w:after="0"/>
      </w:pPr>
      <w:r>
        <w:separator/>
      </w:r>
    </w:p>
  </w:footnote>
  <w:footnote w:type="continuationSeparator" w:id="0">
    <w:p w14:paraId="3DB6B5C2" w14:textId="77777777" w:rsidR="00C75ED5" w:rsidRDefault="00C75ED5">
      <w:pPr>
        <w:spacing w:before="0" w:after="0"/>
      </w:pPr>
      <w:r>
        <w:continuationSeparator/>
      </w:r>
    </w:p>
  </w:footnote>
  <w:footnote w:type="continuationNotice" w:id="1">
    <w:p w14:paraId="1448BB6C" w14:textId="77777777" w:rsidR="00C75ED5" w:rsidRDefault="00C75E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2713" w14:textId="77777777" w:rsidR="006713EE" w:rsidRDefault="00671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6713EE">
      <w:rPr>
        <w:noProof/>
        <w:sz w:val="28"/>
        <w:szCs w:val="28"/>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6713EE">
      <w:rPr>
        <w:sz w:val="28"/>
        <w:szCs w:val="28"/>
      </w:rPr>
      <w:t>Dilyniant</w:t>
    </w:r>
    <w:r>
      <w:t xml:space="preserve"> </w:t>
    </w:r>
    <w:r>
      <w:rPr>
        <w:sz w:val="28"/>
      </w:rPr>
      <w:t xml:space="preserve">mewn </w:t>
    </w:r>
    <w:r>
      <w:rPr>
        <w:b/>
        <w:sz w:val="28"/>
      </w:rPr>
      <w:t>Adeiladu (Lefel 2)</w:t>
    </w:r>
  </w:p>
  <w:p w14:paraId="1A87A6D0" w14:textId="22CB9443" w:rsidR="008C49CA" w:rsidRPr="00AC3BFD" w:rsidRDefault="00657E0F" w:rsidP="00AB366F">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FF732A"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Uned 207: Canllawiau darparu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991F" w14:textId="77777777" w:rsidR="006713EE" w:rsidRDefault="006713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6ADE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5A2A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E4D8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40AC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B2B3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B633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06CB5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DE0BA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5517CC4"/>
    <w:multiLevelType w:val="multilevel"/>
    <w:tmpl w:val="7EECBBBA"/>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16556274"/>
    <w:multiLevelType w:val="hybridMultilevel"/>
    <w:tmpl w:val="15F837E0"/>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527E1848">
      <w:start w:val="1"/>
      <w:numFmt w:val="bullet"/>
      <w:lvlText w:val="–"/>
      <w:lvlJc w:val="left"/>
      <w:pPr>
        <w:ind w:left="1440" w:hanging="360"/>
      </w:pPr>
      <w:rPr>
        <w:rFonts w:ascii="Arial" w:hAnsi="Arial" w:hint="default"/>
        <w:color w:val="0070C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1846B4"/>
    <w:multiLevelType w:val="hybridMultilevel"/>
    <w:tmpl w:val="7B8AE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B3F08B5"/>
    <w:multiLevelType w:val="hybridMultilevel"/>
    <w:tmpl w:val="6FA0E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A26575"/>
    <w:multiLevelType w:val="multilevel"/>
    <w:tmpl w:val="F59295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9D92F59"/>
    <w:multiLevelType w:val="hybridMultilevel"/>
    <w:tmpl w:val="699AA0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32FE78B5"/>
    <w:multiLevelType w:val="hybridMultilevel"/>
    <w:tmpl w:val="F6E2F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EF5AF3"/>
    <w:multiLevelType w:val="multilevel"/>
    <w:tmpl w:val="0809001F"/>
    <w:numStyleLink w:val="111111"/>
  </w:abstractNum>
  <w:abstractNum w:abstractNumId="29" w15:restartNumberingAfterBreak="0">
    <w:nsid w:val="3C012FB8"/>
    <w:multiLevelType w:val="hybridMultilevel"/>
    <w:tmpl w:val="F33CDDE4"/>
    <w:lvl w:ilvl="0" w:tplc="28B62B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0" w15:restartNumberingAfterBreak="0">
    <w:nsid w:val="3CAC4D51"/>
    <w:multiLevelType w:val="hybridMultilevel"/>
    <w:tmpl w:val="E29CF884"/>
    <w:lvl w:ilvl="0" w:tplc="6414CFC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286519"/>
    <w:multiLevelType w:val="hybridMultilevel"/>
    <w:tmpl w:val="8E781F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841F1D"/>
    <w:multiLevelType w:val="hybridMultilevel"/>
    <w:tmpl w:val="A0D830F8"/>
    <w:lvl w:ilvl="0" w:tplc="E93C279E">
      <w:start w:val="1"/>
      <w:numFmt w:val="decimal"/>
      <w:lvlText w:val="4.%1"/>
      <w:lvlJc w:val="left"/>
      <w:pPr>
        <w:ind w:left="360" w:hanging="360"/>
      </w:pPr>
      <w:rPr>
        <w:rFonts w:hint="default"/>
        <w:b/>
        <w:bCs/>
        <w:color w:val="000000" w:themeColor="text1"/>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C740D5"/>
    <w:multiLevelType w:val="multilevel"/>
    <w:tmpl w:val="0809001F"/>
    <w:numStyleLink w:val="111111"/>
  </w:abstractNum>
  <w:abstractNum w:abstractNumId="3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4" w15:restartNumberingAfterBreak="0">
    <w:nsid w:val="62B865CC"/>
    <w:multiLevelType w:val="hybridMultilevel"/>
    <w:tmpl w:val="F30E254E"/>
    <w:lvl w:ilvl="0" w:tplc="794AB2A6">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AD7E9E"/>
    <w:multiLevelType w:val="hybridMultilevel"/>
    <w:tmpl w:val="E36C624A"/>
    <w:lvl w:ilvl="0" w:tplc="4A6C7446">
      <w:start w:val="1"/>
      <w:numFmt w:val="decimal"/>
      <w:lvlText w:val="2.%1"/>
      <w:lvlJc w:val="left"/>
      <w:pPr>
        <w:ind w:left="360" w:hanging="360"/>
      </w:pPr>
      <w:rPr>
        <w:rFonts w:hint="default"/>
        <w:b/>
        <w:bCs/>
        <w:color w:val="auto"/>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E325343"/>
    <w:multiLevelType w:val="multilevel"/>
    <w:tmpl w:val="0809001F"/>
    <w:numStyleLink w:val="111111"/>
  </w:abstractNum>
  <w:abstractNum w:abstractNumId="47"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7"/>
  </w:num>
  <w:num w:numId="3">
    <w:abstractNumId w:val="32"/>
  </w:num>
  <w:num w:numId="4">
    <w:abstractNumId w:val="8"/>
  </w:num>
  <w:num w:numId="5">
    <w:abstractNumId w:val="3"/>
  </w:num>
  <w:num w:numId="6">
    <w:abstractNumId w:val="13"/>
  </w:num>
  <w:num w:numId="7">
    <w:abstractNumId w:val="47"/>
  </w:num>
  <w:num w:numId="8">
    <w:abstractNumId w:val="42"/>
  </w:num>
  <w:num w:numId="9">
    <w:abstractNumId w:val="3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20"/>
  </w:num>
  <w:num w:numId="20">
    <w:abstractNumId w:val="35"/>
  </w:num>
  <w:num w:numId="21">
    <w:abstractNumId w:val="37"/>
  </w:num>
  <w:num w:numId="22">
    <w:abstractNumId w:val="41"/>
  </w:num>
  <w:num w:numId="23">
    <w:abstractNumId w:val="36"/>
  </w:num>
  <w:num w:numId="24">
    <w:abstractNumId w:val="28"/>
  </w:num>
  <w:num w:numId="25">
    <w:abstractNumId w:val="46"/>
  </w:num>
  <w:num w:numId="26">
    <w:abstractNumId w:val="34"/>
  </w:num>
  <w:num w:numId="27">
    <w:abstractNumId w:val="48"/>
  </w:num>
  <w:num w:numId="28">
    <w:abstractNumId w:val="25"/>
  </w:num>
  <w:num w:numId="29">
    <w:abstractNumId w:val="11"/>
  </w:num>
  <w:num w:numId="30">
    <w:abstractNumId w:val="43"/>
  </w:num>
  <w:num w:numId="31">
    <w:abstractNumId w:val="26"/>
  </w:num>
  <w:num w:numId="32">
    <w:abstractNumId w:val="38"/>
  </w:num>
  <w:num w:numId="33">
    <w:abstractNumId w:val="15"/>
  </w:num>
  <w:num w:numId="34">
    <w:abstractNumId w:val="23"/>
  </w:num>
  <w:num w:numId="35">
    <w:abstractNumId w:val="22"/>
  </w:num>
  <w:num w:numId="36">
    <w:abstractNumId w:val="40"/>
  </w:num>
  <w:num w:numId="37">
    <w:abstractNumId w:val="12"/>
  </w:num>
  <w:num w:numId="38">
    <w:abstractNumId w:val="24"/>
  </w:num>
  <w:num w:numId="39">
    <w:abstractNumId w:val="19"/>
  </w:num>
  <w:num w:numId="40">
    <w:abstractNumId w:val="16"/>
  </w:num>
  <w:num w:numId="41">
    <w:abstractNumId w:val="30"/>
  </w:num>
  <w:num w:numId="42">
    <w:abstractNumId w:val="31"/>
  </w:num>
  <w:num w:numId="43">
    <w:abstractNumId w:val="44"/>
  </w:num>
  <w:num w:numId="44">
    <w:abstractNumId w:val="17"/>
  </w:num>
  <w:num w:numId="45">
    <w:abstractNumId w:val="21"/>
  </w:num>
  <w:num w:numId="46">
    <w:abstractNumId w:val="45"/>
  </w:num>
  <w:num w:numId="47">
    <w:abstractNumId w:val="18"/>
  </w:num>
  <w:num w:numId="48">
    <w:abstractNumId w:val="27"/>
  </w:num>
  <w:num w:numId="49">
    <w:abstractNumId w:val="33"/>
  </w:num>
  <w:num w:numId="50">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1B49"/>
    <w:rsid w:val="00014527"/>
    <w:rsid w:val="00015537"/>
    <w:rsid w:val="00016BF4"/>
    <w:rsid w:val="00024437"/>
    <w:rsid w:val="00027BD5"/>
    <w:rsid w:val="0003153E"/>
    <w:rsid w:val="000355F3"/>
    <w:rsid w:val="000357B4"/>
    <w:rsid w:val="00035875"/>
    <w:rsid w:val="00041D6F"/>
    <w:rsid w:val="00041DCF"/>
    <w:rsid w:val="000462D0"/>
    <w:rsid w:val="00052D44"/>
    <w:rsid w:val="0005397E"/>
    <w:rsid w:val="00061389"/>
    <w:rsid w:val="000625C1"/>
    <w:rsid w:val="00070A7C"/>
    <w:rsid w:val="00077B8F"/>
    <w:rsid w:val="000821BE"/>
    <w:rsid w:val="00083275"/>
    <w:rsid w:val="00083D9C"/>
    <w:rsid w:val="0008737F"/>
    <w:rsid w:val="000911C4"/>
    <w:rsid w:val="000A7B23"/>
    <w:rsid w:val="000B475D"/>
    <w:rsid w:val="000D13A3"/>
    <w:rsid w:val="000D239B"/>
    <w:rsid w:val="000E3286"/>
    <w:rsid w:val="000E7C90"/>
    <w:rsid w:val="000F0EDE"/>
    <w:rsid w:val="000F1280"/>
    <w:rsid w:val="000F364F"/>
    <w:rsid w:val="000F5F68"/>
    <w:rsid w:val="00100DE4"/>
    <w:rsid w:val="00102645"/>
    <w:rsid w:val="00106031"/>
    <w:rsid w:val="00106685"/>
    <w:rsid w:val="00110B0A"/>
    <w:rsid w:val="00116381"/>
    <w:rsid w:val="00125658"/>
    <w:rsid w:val="00126511"/>
    <w:rsid w:val="00134136"/>
    <w:rsid w:val="00134922"/>
    <w:rsid w:val="00143276"/>
    <w:rsid w:val="00147984"/>
    <w:rsid w:val="00153EEC"/>
    <w:rsid w:val="0016510B"/>
    <w:rsid w:val="00171A7D"/>
    <w:rsid w:val="0017259D"/>
    <w:rsid w:val="001742DD"/>
    <w:rsid w:val="001756B3"/>
    <w:rsid w:val="001759B2"/>
    <w:rsid w:val="00180F9E"/>
    <w:rsid w:val="001832C2"/>
    <w:rsid w:val="00183375"/>
    <w:rsid w:val="00184566"/>
    <w:rsid w:val="00194C52"/>
    <w:rsid w:val="00195896"/>
    <w:rsid w:val="00196966"/>
    <w:rsid w:val="00197A45"/>
    <w:rsid w:val="001A58F7"/>
    <w:rsid w:val="001A7852"/>
    <w:rsid w:val="001A7C68"/>
    <w:rsid w:val="001A7DC7"/>
    <w:rsid w:val="001B4FD3"/>
    <w:rsid w:val="001B5772"/>
    <w:rsid w:val="001C0CA5"/>
    <w:rsid w:val="001C12D8"/>
    <w:rsid w:val="001C77A4"/>
    <w:rsid w:val="001D2B97"/>
    <w:rsid w:val="001D2C30"/>
    <w:rsid w:val="001E04AC"/>
    <w:rsid w:val="001E1554"/>
    <w:rsid w:val="001E6D3F"/>
    <w:rsid w:val="001F5E02"/>
    <w:rsid w:val="001F60AD"/>
    <w:rsid w:val="00205182"/>
    <w:rsid w:val="0020643D"/>
    <w:rsid w:val="002105E9"/>
    <w:rsid w:val="00210F0A"/>
    <w:rsid w:val="002137A0"/>
    <w:rsid w:val="00230E5C"/>
    <w:rsid w:val="00232BD2"/>
    <w:rsid w:val="002342C9"/>
    <w:rsid w:val="002436C8"/>
    <w:rsid w:val="00243A5C"/>
    <w:rsid w:val="002575AA"/>
    <w:rsid w:val="00260ABB"/>
    <w:rsid w:val="00265528"/>
    <w:rsid w:val="00273525"/>
    <w:rsid w:val="00276D9F"/>
    <w:rsid w:val="0028114A"/>
    <w:rsid w:val="00290D5E"/>
    <w:rsid w:val="002A24D9"/>
    <w:rsid w:val="002A4F81"/>
    <w:rsid w:val="002C0F98"/>
    <w:rsid w:val="002D2FBA"/>
    <w:rsid w:val="002D44D0"/>
    <w:rsid w:val="002E0AB2"/>
    <w:rsid w:val="002E2DA6"/>
    <w:rsid w:val="002E4B7C"/>
    <w:rsid w:val="002F145D"/>
    <w:rsid w:val="002F2A70"/>
    <w:rsid w:val="00312073"/>
    <w:rsid w:val="00321A9E"/>
    <w:rsid w:val="00335B1E"/>
    <w:rsid w:val="00337DF5"/>
    <w:rsid w:val="00340B51"/>
    <w:rsid w:val="00342F12"/>
    <w:rsid w:val="003553A4"/>
    <w:rsid w:val="003614CC"/>
    <w:rsid w:val="003728D5"/>
    <w:rsid w:val="003729D3"/>
    <w:rsid w:val="00372FB3"/>
    <w:rsid w:val="00376CB6"/>
    <w:rsid w:val="00382EB1"/>
    <w:rsid w:val="00396404"/>
    <w:rsid w:val="00396CC1"/>
    <w:rsid w:val="003B7EFA"/>
    <w:rsid w:val="003C415E"/>
    <w:rsid w:val="003C57B3"/>
    <w:rsid w:val="003E15A0"/>
    <w:rsid w:val="003E7D46"/>
    <w:rsid w:val="003F100A"/>
    <w:rsid w:val="003F43F5"/>
    <w:rsid w:val="003F65C9"/>
    <w:rsid w:val="003F7D8A"/>
    <w:rsid w:val="0040099C"/>
    <w:rsid w:val="004057E7"/>
    <w:rsid w:val="00411F96"/>
    <w:rsid w:val="0041389A"/>
    <w:rsid w:val="00415B61"/>
    <w:rsid w:val="0042300A"/>
    <w:rsid w:val="00434537"/>
    <w:rsid w:val="00442AE1"/>
    <w:rsid w:val="0045095C"/>
    <w:rsid w:val="004523E2"/>
    <w:rsid w:val="004539DF"/>
    <w:rsid w:val="004546B2"/>
    <w:rsid w:val="00457D67"/>
    <w:rsid w:val="00460244"/>
    <w:rsid w:val="0046039E"/>
    <w:rsid w:val="00462BA5"/>
    <w:rsid w:val="00464277"/>
    <w:rsid w:val="00466297"/>
    <w:rsid w:val="00466735"/>
    <w:rsid w:val="004712E2"/>
    <w:rsid w:val="004731A0"/>
    <w:rsid w:val="004762D1"/>
    <w:rsid w:val="00487158"/>
    <w:rsid w:val="00492A16"/>
    <w:rsid w:val="004A2268"/>
    <w:rsid w:val="004B0A78"/>
    <w:rsid w:val="004B1055"/>
    <w:rsid w:val="004B3911"/>
    <w:rsid w:val="004B527D"/>
    <w:rsid w:val="004B6E5D"/>
    <w:rsid w:val="004C6ADC"/>
    <w:rsid w:val="004C705A"/>
    <w:rsid w:val="004D0BA5"/>
    <w:rsid w:val="004E191A"/>
    <w:rsid w:val="004F181C"/>
    <w:rsid w:val="004F3A08"/>
    <w:rsid w:val="004F42F8"/>
    <w:rsid w:val="005132B1"/>
    <w:rsid w:val="00525722"/>
    <w:rsid w:val="00525D70"/>
    <w:rsid w:val="005329BB"/>
    <w:rsid w:val="00540D74"/>
    <w:rsid w:val="0054191A"/>
    <w:rsid w:val="00552059"/>
    <w:rsid w:val="00552896"/>
    <w:rsid w:val="005607EA"/>
    <w:rsid w:val="00564061"/>
    <w:rsid w:val="00564AED"/>
    <w:rsid w:val="0056783E"/>
    <w:rsid w:val="00570E11"/>
    <w:rsid w:val="005740E2"/>
    <w:rsid w:val="00577ED7"/>
    <w:rsid w:val="0058088A"/>
    <w:rsid w:val="00582A25"/>
    <w:rsid w:val="00582E73"/>
    <w:rsid w:val="00586B3D"/>
    <w:rsid w:val="00593709"/>
    <w:rsid w:val="005A503B"/>
    <w:rsid w:val="005B71ED"/>
    <w:rsid w:val="005E6E8F"/>
    <w:rsid w:val="005F46B0"/>
    <w:rsid w:val="00613AB3"/>
    <w:rsid w:val="00613E0A"/>
    <w:rsid w:val="0061455B"/>
    <w:rsid w:val="0061604E"/>
    <w:rsid w:val="006203BD"/>
    <w:rsid w:val="00620EDB"/>
    <w:rsid w:val="00626FFC"/>
    <w:rsid w:val="00635630"/>
    <w:rsid w:val="0063598F"/>
    <w:rsid w:val="006363AF"/>
    <w:rsid w:val="00637B85"/>
    <w:rsid w:val="00641F5D"/>
    <w:rsid w:val="00643052"/>
    <w:rsid w:val="006463BB"/>
    <w:rsid w:val="00656A7F"/>
    <w:rsid w:val="00656E58"/>
    <w:rsid w:val="00657832"/>
    <w:rsid w:val="00657E0F"/>
    <w:rsid w:val="00665347"/>
    <w:rsid w:val="00667525"/>
    <w:rsid w:val="006713EE"/>
    <w:rsid w:val="00672BED"/>
    <w:rsid w:val="0067586F"/>
    <w:rsid w:val="00682F51"/>
    <w:rsid w:val="00687CC6"/>
    <w:rsid w:val="00690B51"/>
    <w:rsid w:val="0069178F"/>
    <w:rsid w:val="00692447"/>
    <w:rsid w:val="00693866"/>
    <w:rsid w:val="006941E6"/>
    <w:rsid w:val="006B07D3"/>
    <w:rsid w:val="006B23A9"/>
    <w:rsid w:val="006C0843"/>
    <w:rsid w:val="006C2E97"/>
    <w:rsid w:val="006D08FE"/>
    <w:rsid w:val="006D3932"/>
    <w:rsid w:val="006D4994"/>
    <w:rsid w:val="006E58C5"/>
    <w:rsid w:val="006E67F0"/>
    <w:rsid w:val="006E7C99"/>
    <w:rsid w:val="006F762E"/>
    <w:rsid w:val="00704B0B"/>
    <w:rsid w:val="007111AD"/>
    <w:rsid w:val="0071471E"/>
    <w:rsid w:val="00715647"/>
    <w:rsid w:val="00731399"/>
    <w:rsid w:val="007317D2"/>
    <w:rsid w:val="00733A39"/>
    <w:rsid w:val="007505A0"/>
    <w:rsid w:val="00750AE9"/>
    <w:rsid w:val="00755B80"/>
    <w:rsid w:val="00756D14"/>
    <w:rsid w:val="00760E4E"/>
    <w:rsid w:val="007704C5"/>
    <w:rsid w:val="00772514"/>
    <w:rsid w:val="00772D58"/>
    <w:rsid w:val="00777D67"/>
    <w:rsid w:val="00786E7D"/>
    <w:rsid w:val="0079118A"/>
    <w:rsid w:val="007A33F5"/>
    <w:rsid w:val="007A5093"/>
    <w:rsid w:val="007A651C"/>
    <w:rsid w:val="007A65FA"/>
    <w:rsid w:val="007A693A"/>
    <w:rsid w:val="007B50CD"/>
    <w:rsid w:val="007C1B52"/>
    <w:rsid w:val="007C49F1"/>
    <w:rsid w:val="007D0058"/>
    <w:rsid w:val="007D2652"/>
    <w:rsid w:val="007D6FEB"/>
    <w:rsid w:val="007D7D2B"/>
    <w:rsid w:val="007E0BB6"/>
    <w:rsid w:val="007F482E"/>
    <w:rsid w:val="007F54BF"/>
    <w:rsid w:val="007F760E"/>
    <w:rsid w:val="008005D4"/>
    <w:rsid w:val="00801706"/>
    <w:rsid w:val="008105EA"/>
    <w:rsid w:val="00812680"/>
    <w:rsid w:val="00813F3C"/>
    <w:rsid w:val="00847CC6"/>
    <w:rsid w:val="00850266"/>
    <w:rsid w:val="00850408"/>
    <w:rsid w:val="00851391"/>
    <w:rsid w:val="00853289"/>
    <w:rsid w:val="00862AD0"/>
    <w:rsid w:val="008716BC"/>
    <w:rsid w:val="00876735"/>
    <w:rsid w:val="0088056C"/>
    <w:rsid w:val="00880EAA"/>
    <w:rsid w:val="00885ED3"/>
    <w:rsid w:val="00886270"/>
    <w:rsid w:val="0088670A"/>
    <w:rsid w:val="00896271"/>
    <w:rsid w:val="008A01E4"/>
    <w:rsid w:val="008A4FC4"/>
    <w:rsid w:val="008B030B"/>
    <w:rsid w:val="008B47FA"/>
    <w:rsid w:val="008C1171"/>
    <w:rsid w:val="008C49CA"/>
    <w:rsid w:val="008D37DF"/>
    <w:rsid w:val="008E3A14"/>
    <w:rsid w:val="008F01B5"/>
    <w:rsid w:val="008F2236"/>
    <w:rsid w:val="008F3C1A"/>
    <w:rsid w:val="009031A4"/>
    <w:rsid w:val="00905483"/>
    <w:rsid w:val="00905996"/>
    <w:rsid w:val="009139E4"/>
    <w:rsid w:val="0092180A"/>
    <w:rsid w:val="00926435"/>
    <w:rsid w:val="0092697A"/>
    <w:rsid w:val="0094112A"/>
    <w:rsid w:val="00954ECD"/>
    <w:rsid w:val="00957468"/>
    <w:rsid w:val="00962BD3"/>
    <w:rsid w:val="00963AF6"/>
    <w:rsid w:val="009674DC"/>
    <w:rsid w:val="00967531"/>
    <w:rsid w:val="00972FF3"/>
    <w:rsid w:val="0097483D"/>
    <w:rsid w:val="00975F19"/>
    <w:rsid w:val="00977AAF"/>
    <w:rsid w:val="009802A8"/>
    <w:rsid w:val="0098637D"/>
    <w:rsid w:val="009865DF"/>
    <w:rsid w:val="00986ADD"/>
    <w:rsid w:val="0098732F"/>
    <w:rsid w:val="0099094F"/>
    <w:rsid w:val="00995AFF"/>
    <w:rsid w:val="00997551"/>
    <w:rsid w:val="009A272A"/>
    <w:rsid w:val="009B0EE5"/>
    <w:rsid w:val="009B2D8D"/>
    <w:rsid w:val="009B740D"/>
    <w:rsid w:val="009C0CB2"/>
    <w:rsid w:val="009D0107"/>
    <w:rsid w:val="009D56CC"/>
    <w:rsid w:val="009E0787"/>
    <w:rsid w:val="009E6B97"/>
    <w:rsid w:val="009F1EE2"/>
    <w:rsid w:val="009F580F"/>
    <w:rsid w:val="00A059C5"/>
    <w:rsid w:val="00A06CAD"/>
    <w:rsid w:val="00A1077E"/>
    <w:rsid w:val="00A1277C"/>
    <w:rsid w:val="00A1497A"/>
    <w:rsid w:val="00A16377"/>
    <w:rsid w:val="00A17F9B"/>
    <w:rsid w:val="00A250BF"/>
    <w:rsid w:val="00A42515"/>
    <w:rsid w:val="00A459F9"/>
    <w:rsid w:val="00A52996"/>
    <w:rsid w:val="00A5765E"/>
    <w:rsid w:val="00A576E4"/>
    <w:rsid w:val="00A616D2"/>
    <w:rsid w:val="00A63F2B"/>
    <w:rsid w:val="00A70489"/>
    <w:rsid w:val="00A71800"/>
    <w:rsid w:val="00A77165"/>
    <w:rsid w:val="00A9525E"/>
    <w:rsid w:val="00AA08E6"/>
    <w:rsid w:val="00AA66B6"/>
    <w:rsid w:val="00AA7680"/>
    <w:rsid w:val="00AB2948"/>
    <w:rsid w:val="00AB2E79"/>
    <w:rsid w:val="00AB366F"/>
    <w:rsid w:val="00AB652B"/>
    <w:rsid w:val="00AC3BFD"/>
    <w:rsid w:val="00AC59B7"/>
    <w:rsid w:val="00AC5A90"/>
    <w:rsid w:val="00AE0F75"/>
    <w:rsid w:val="00AE278D"/>
    <w:rsid w:val="00AE413B"/>
    <w:rsid w:val="00AE4142"/>
    <w:rsid w:val="00AE64CD"/>
    <w:rsid w:val="00AE6F53"/>
    <w:rsid w:val="00AF03BF"/>
    <w:rsid w:val="00AF1869"/>
    <w:rsid w:val="00AF252C"/>
    <w:rsid w:val="00AF7A4F"/>
    <w:rsid w:val="00B016BE"/>
    <w:rsid w:val="00B0190D"/>
    <w:rsid w:val="00B113E0"/>
    <w:rsid w:val="00B12C58"/>
    <w:rsid w:val="00B13391"/>
    <w:rsid w:val="00B13A13"/>
    <w:rsid w:val="00B167AC"/>
    <w:rsid w:val="00B25B99"/>
    <w:rsid w:val="00B27B25"/>
    <w:rsid w:val="00B503EA"/>
    <w:rsid w:val="00B569B0"/>
    <w:rsid w:val="00B66ECB"/>
    <w:rsid w:val="00B74F03"/>
    <w:rsid w:val="00B752E1"/>
    <w:rsid w:val="00B76912"/>
    <w:rsid w:val="00B772B2"/>
    <w:rsid w:val="00B93185"/>
    <w:rsid w:val="00B95628"/>
    <w:rsid w:val="00B966B9"/>
    <w:rsid w:val="00B9709E"/>
    <w:rsid w:val="00BA0A26"/>
    <w:rsid w:val="00BA2235"/>
    <w:rsid w:val="00BA521F"/>
    <w:rsid w:val="00BA5551"/>
    <w:rsid w:val="00BB6400"/>
    <w:rsid w:val="00BC28B4"/>
    <w:rsid w:val="00BC2FA0"/>
    <w:rsid w:val="00BC7894"/>
    <w:rsid w:val="00BC7960"/>
    <w:rsid w:val="00BD12F2"/>
    <w:rsid w:val="00BD1647"/>
    <w:rsid w:val="00BD2993"/>
    <w:rsid w:val="00BD5BAD"/>
    <w:rsid w:val="00BE0E94"/>
    <w:rsid w:val="00BE11EF"/>
    <w:rsid w:val="00BF0FE3"/>
    <w:rsid w:val="00BF20EA"/>
    <w:rsid w:val="00BF3408"/>
    <w:rsid w:val="00BF5906"/>
    <w:rsid w:val="00BF7512"/>
    <w:rsid w:val="00C00AD5"/>
    <w:rsid w:val="00C04EE8"/>
    <w:rsid w:val="00C1396D"/>
    <w:rsid w:val="00C21B8F"/>
    <w:rsid w:val="00C2221B"/>
    <w:rsid w:val="00C269AC"/>
    <w:rsid w:val="00C32A37"/>
    <w:rsid w:val="00C344FE"/>
    <w:rsid w:val="00C40C0E"/>
    <w:rsid w:val="00C4282A"/>
    <w:rsid w:val="00C541CE"/>
    <w:rsid w:val="00C54C05"/>
    <w:rsid w:val="00C567AF"/>
    <w:rsid w:val="00C573C2"/>
    <w:rsid w:val="00C629D1"/>
    <w:rsid w:val="00C6602A"/>
    <w:rsid w:val="00C75ED5"/>
    <w:rsid w:val="00C85C02"/>
    <w:rsid w:val="00C85D19"/>
    <w:rsid w:val="00C916A2"/>
    <w:rsid w:val="00C94335"/>
    <w:rsid w:val="00C97DC0"/>
    <w:rsid w:val="00CA4288"/>
    <w:rsid w:val="00CB165E"/>
    <w:rsid w:val="00CB4C38"/>
    <w:rsid w:val="00CB4DF5"/>
    <w:rsid w:val="00CC1C2A"/>
    <w:rsid w:val="00CD37DA"/>
    <w:rsid w:val="00CD44C4"/>
    <w:rsid w:val="00CD50CC"/>
    <w:rsid w:val="00CE2921"/>
    <w:rsid w:val="00CE50C0"/>
    <w:rsid w:val="00CE602C"/>
    <w:rsid w:val="00CE60F0"/>
    <w:rsid w:val="00CF15E6"/>
    <w:rsid w:val="00CF7F32"/>
    <w:rsid w:val="00D04BE6"/>
    <w:rsid w:val="00D04E77"/>
    <w:rsid w:val="00D06783"/>
    <w:rsid w:val="00D129BC"/>
    <w:rsid w:val="00D14B60"/>
    <w:rsid w:val="00D14DBA"/>
    <w:rsid w:val="00D22E57"/>
    <w:rsid w:val="00D33B16"/>
    <w:rsid w:val="00D33FC2"/>
    <w:rsid w:val="00D412AA"/>
    <w:rsid w:val="00D4303D"/>
    <w:rsid w:val="00D4321F"/>
    <w:rsid w:val="00D43655"/>
    <w:rsid w:val="00D44A96"/>
    <w:rsid w:val="00D45288"/>
    <w:rsid w:val="00D46A7C"/>
    <w:rsid w:val="00D53346"/>
    <w:rsid w:val="00D62EAC"/>
    <w:rsid w:val="00D640A8"/>
    <w:rsid w:val="00D6715E"/>
    <w:rsid w:val="00D7542B"/>
    <w:rsid w:val="00D76422"/>
    <w:rsid w:val="00D8348D"/>
    <w:rsid w:val="00D84F37"/>
    <w:rsid w:val="00D92020"/>
    <w:rsid w:val="00D93C78"/>
    <w:rsid w:val="00D979B1"/>
    <w:rsid w:val="00D97C38"/>
    <w:rsid w:val="00DA1D36"/>
    <w:rsid w:val="00DA3D61"/>
    <w:rsid w:val="00DB3BF5"/>
    <w:rsid w:val="00DB48BE"/>
    <w:rsid w:val="00DC1419"/>
    <w:rsid w:val="00DC2A77"/>
    <w:rsid w:val="00DC642B"/>
    <w:rsid w:val="00DD46A0"/>
    <w:rsid w:val="00DE2D47"/>
    <w:rsid w:val="00DE3DD5"/>
    <w:rsid w:val="00DE54B8"/>
    <w:rsid w:val="00DE572B"/>
    <w:rsid w:val="00DE647C"/>
    <w:rsid w:val="00DE7233"/>
    <w:rsid w:val="00DF0116"/>
    <w:rsid w:val="00DF022A"/>
    <w:rsid w:val="00DF297A"/>
    <w:rsid w:val="00DF3456"/>
    <w:rsid w:val="00DF4F8B"/>
    <w:rsid w:val="00DF5AEE"/>
    <w:rsid w:val="00DF5C3B"/>
    <w:rsid w:val="00E00115"/>
    <w:rsid w:val="00E001B6"/>
    <w:rsid w:val="00E031BB"/>
    <w:rsid w:val="00E05579"/>
    <w:rsid w:val="00E20493"/>
    <w:rsid w:val="00E228A2"/>
    <w:rsid w:val="00E2563B"/>
    <w:rsid w:val="00E25C22"/>
    <w:rsid w:val="00E26CCE"/>
    <w:rsid w:val="00E3159F"/>
    <w:rsid w:val="00E42D9F"/>
    <w:rsid w:val="00E55682"/>
    <w:rsid w:val="00E56577"/>
    <w:rsid w:val="00E6073F"/>
    <w:rsid w:val="00E61257"/>
    <w:rsid w:val="00E61E14"/>
    <w:rsid w:val="00E766BE"/>
    <w:rsid w:val="00E77982"/>
    <w:rsid w:val="00E92EFF"/>
    <w:rsid w:val="00E95CA3"/>
    <w:rsid w:val="00EA4ADD"/>
    <w:rsid w:val="00EB79FD"/>
    <w:rsid w:val="00ED31D2"/>
    <w:rsid w:val="00ED63FC"/>
    <w:rsid w:val="00EF33B4"/>
    <w:rsid w:val="00EF6580"/>
    <w:rsid w:val="00F01469"/>
    <w:rsid w:val="00F03C3F"/>
    <w:rsid w:val="00F0513E"/>
    <w:rsid w:val="00F05484"/>
    <w:rsid w:val="00F14D1E"/>
    <w:rsid w:val="00F160AE"/>
    <w:rsid w:val="00F1690A"/>
    <w:rsid w:val="00F23F4A"/>
    <w:rsid w:val="00F30345"/>
    <w:rsid w:val="00F31E92"/>
    <w:rsid w:val="00F32DA3"/>
    <w:rsid w:val="00F3662F"/>
    <w:rsid w:val="00F418EF"/>
    <w:rsid w:val="00F42FC2"/>
    <w:rsid w:val="00F5106E"/>
    <w:rsid w:val="00F51D77"/>
    <w:rsid w:val="00F52A5C"/>
    <w:rsid w:val="00F53EE5"/>
    <w:rsid w:val="00F64504"/>
    <w:rsid w:val="00F6456E"/>
    <w:rsid w:val="00F733F4"/>
    <w:rsid w:val="00F81E2A"/>
    <w:rsid w:val="00F864C6"/>
    <w:rsid w:val="00F87D3C"/>
    <w:rsid w:val="00F93080"/>
    <w:rsid w:val="00FA17BC"/>
    <w:rsid w:val="00FA1C3D"/>
    <w:rsid w:val="00FA2636"/>
    <w:rsid w:val="00FA69C0"/>
    <w:rsid w:val="00FC09DD"/>
    <w:rsid w:val="00FC1E7C"/>
    <w:rsid w:val="00FC7562"/>
    <w:rsid w:val="00FD176D"/>
    <w:rsid w:val="00FD198C"/>
    <w:rsid w:val="00FD6214"/>
    <w:rsid w:val="00FE009B"/>
    <w:rsid w:val="00FE1E19"/>
    <w:rsid w:val="00FE23DC"/>
    <w:rsid w:val="00FF0827"/>
    <w:rsid w:val="00FF0DBE"/>
    <w:rsid w:val="00FF2643"/>
    <w:rsid w:val="03FB03DC"/>
    <w:rsid w:val="77585B4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56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16381"/>
    <w:rPr>
      <w:color w:val="605E5C"/>
      <w:shd w:val="clear" w:color="auto" w:fill="E1DFDD"/>
    </w:rPr>
  </w:style>
  <w:style w:type="character" w:customStyle="1" w:styleId="a-size-extra-large">
    <w:name w:val="a-size-extra-large"/>
    <w:basedOn w:val="DefaultParagraphFont"/>
    <w:rsid w:val="00116381"/>
  </w:style>
  <w:style w:type="paragraph" w:styleId="NormalWeb">
    <w:name w:val="Normal (Web)"/>
    <w:basedOn w:val="Normal"/>
    <w:uiPriority w:val="99"/>
    <w:semiHidden/>
    <w:unhideWhenUsed/>
    <w:rsid w:val="00E001B6"/>
    <w:pPr>
      <w:spacing w:before="100" w:beforeAutospacing="1" w:after="100" w:afterAutospacing="1" w:line="240" w:lineRule="auto"/>
    </w:pPr>
    <w:rPr>
      <w:rFonts w:ascii="Times New Roman" w:eastAsia="Times New Roman" w:hAnsi="Times New Roman"/>
      <w:sz w:val="24"/>
      <w:lang w:eastAsia="en-GB"/>
    </w:rPr>
  </w:style>
  <w:style w:type="character" w:customStyle="1" w:styleId="cf01">
    <w:name w:val="cf01"/>
    <w:basedOn w:val="DefaultParagraphFont"/>
    <w:rsid w:val="00E001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079">
      <w:bodyDiv w:val="1"/>
      <w:marLeft w:val="0"/>
      <w:marRight w:val="0"/>
      <w:marTop w:val="0"/>
      <w:marBottom w:val="0"/>
      <w:divBdr>
        <w:top w:val="none" w:sz="0" w:space="0" w:color="auto"/>
        <w:left w:val="none" w:sz="0" w:space="0" w:color="auto"/>
        <w:bottom w:val="none" w:sz="0" w:space="0" w:color="auto"/>
        <w:right w:val="none" w:sz="0" w:space="0" w:color="auto"/>
      </w:divBdr>
    </w:div>
    <w:div w:id="136532520">
      <w:bodyDiv w:val="1"/>
      <w:marLeft w:val="0"/>
      <w:marRight w:val="0"/>
      <w:marTop w:val="0"/>
      <w:marBottom w:val="0"/>
      <w:divBdr>
        <w:top w:val="none" w:sz="0" w:space="0" w:color="auto"/>
        <w:left w:val="none" w:sz="0" w:space="0" w:color="auto"/>
        <w:bottom w:val="none" w:sz="0" w:space="0" w:color="auto"/>
        <w:right w:val="none" w:sz="0" w:space="0" w:color="auto"/>
      </w:divBdr>
    </w:div>
    <w:div w:id="199324199">
      <w:bodyDiv w:val="1"/>
      <w:marLeft w:val="0"/>
      <w:marRight w:val="0"/>
      <w:marTop w:val="0"/>
      <w:marBottom w:val="0"/>
      <w:divBdr>
        <w:top w:val="none" w:sz="0" w:space="0" w:color="auto"/>
        <w:left w:val="none" w:sz="0" w:space="0" w:color="auto"/>
        <w:bottom w:val="none" w:sz="0" w:space="0" w:color="auto"/>
        <w:right w:val="none" w:sz="0" w:space="0" w:color="auto"/>
      </w:divBdr>
    </w:div>
    <w:div w:id="300892250">
      <w:bodyDiv w:val="1"/>
      <w:marLeft w:val="0"/>
      <w:marRight w:val="0"/>
      <w:marTop w:val="0"/>
      <w:marBottom w:val="0"/>
      <w:divBdr>
        <w:top w:val="none" w:sz="0" w:space="0" w:color="auto"/>
        <w:left w:val="none" w:sz="0" w:space="0" w:color="auto"/>
        <w:bottom w:val="none" w:sz="0" w:space="0" w:color="auto"/>
        <w:right w:val="none" w:sz="0" w:space="0" w:color="auto"/>
      </w:divBdr>
    </w:div>
    <w:div w:id="744839950">
      <w:bodyDiv w:val="1"/>
      <w:marLeft w:val="0"/>
      <w:marRight w:val="0"/>
      <w:marTop w:val="0"/>
      <w:marBottom w:val="0"/>
      <w:divBdr>
        <w:top w:val="none" w:sz="0" w:space="0" w:color="auto"/>
        <w:left w:val="none" w:sz="0" w:space="0" w:color="auto"/>
        <w:bottom w:val="none" w:sz="0" w:space="0" w:color="auto"/>
        <w:right w:val="none" w:sz="0" w:space="0" w:color="auto"/>
      </w:divBdr>
    </w:div>
    <w:div w:id="965623163">
      <w:bodyDiv w:val="1"/>
      <w:marLeft w:val="0"/>
      <w:marRight w:val="0"/>
      <w:marTop w:val="0"/>
      <w:marBottom w:val="0"/>
      <w:divBdr>
        <w:top w:val="none" w:sz="0" w:space="0" w:color="auto"/>
        <w:left w:val="none" w:sz="0" w:space="0" w:color="auto"/>
        <w:bottom w:val="none" w:sz="0" w:space="0" w:color="auto"/>
        <w:right w:val="none" w:sz="0" w:space="0" w:color="auto"/>
      </w:divBdr>
    </w:div>
    <w:div w:id="1288781210">
      <w:bodyDiv w:val="1"/>
      <w:marLeft w:val="0"/>
      <w:marRight w:val="0"/>
      <w:marTop w:val="0"/>
      <w:marBottom w:val="0"/>
      <w:divBdr>
        <w:top w:val="none" w:sz="0" w:space="0" w:color="auto"/>
        <w:left w:val="none" w:sz="0" w:space="0" w:color="auto"/>
        <w:bottom w:val="none" w:sz="0" w:space="0" w:color="auto"/>
        <w:right w:val="none" w:sz="0" w:space="0" w:color="auto"/>
      </w:divBdr>
    </w:div>
    <w:div w:id="1292327580">
      <w:bodyDiv w:val="1"/>
      <w:marLeft w:val="0"/>
      <w:marRight w:val="0"/>
      <w:marTop w:val="0"/>
      <w:marBottom w:val="0"/>
      <w:divBdr>
        <w:top w:val="none" w:sz="0" w:space="0" w:color="auto"/>
        <w:left w:val="none" w:sz="0" w:space="0" w:color="auto"/>
        <w:bottom w:val="none" w:sz="0" w:space="0" w:color="auto"/>
        <w:right w:val="none" w:sz="0" w:space="0" w:color="auto"/>
      </w:divBdr>
    </w:div>
    <w:div w:id="1376854849">
      <w:bodyDiv w:val="1"/>
      <w:marLeft w:val="0"/>
      <w:marRight w:val="0"/>
      <w:marTop w:val="0"/>
      <w:marBottom w:val="0"/>
      <w:divBdr>
        <w:top w:val="none" w:sz="0" w:space="0" w:color="auto"/>
        <w:left w:val="none" w:sz="0" w:space="0" w:color="auto"/>
        <w:bottom w:val="none" w:sz="0" w:space="0" w:color="auto"/>
        <w:right w:val="none" w:sz="0" w:space="0" w:color="auto"/>
      </w:divBdr>
    </w:div>
    <w:div w:id="1516111331">
      <w:bodyDiv w:val="1"/>
      <w:marLeft w:val="0"/>
      <w:marRight w:val="0"/>
      <w:marTop w:val="0"/>
      <w:marBottom w:val="0"/>
      <w:divBdr>
        <w:top w:val="none" w:sz="0" w:space="0" w:color="auto"/>
        <w:left w:val="none" w:sz="0" w:space="0" w:color="auto"/>
        <w:bottom w:val="none" w:sz="0" w:space="0" w:color="auto"/>
        <w:right w:val="none" w:sz="0" w:space="0" w:color="auto"/>
      </w:divBdr>
    </w:div>
    <w:div w:id="17770975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gov.uk/building-regulations-approval" TargetMode="External"/><Relationship Id="rId26" Type="http://schemas.openxmlformats.org/officeDocument/2006/relationships/hyperlink" Target="https://www.hse.gov.uk/coshh/" TargetMode="External"/><Relationship Id="rId3" Type="http://schemas.openxmlformats.org/officeDocument/2006/relationships/customXml" Target="../customXml/item3.xml"/><Relationship Id="rId21" Type="http://schemas.openxmlformats.org/officeDocument/2006/relationships/hyperlink" Target="https://www.hse.gov.uk/woodworking/index.htm"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bwf.org.uk/" TargetMode="External"/><Relationship Id="rId25" Type="http://schemas.openxmlformats.org/officeDocument/2006/relationships/hyperlink" Target="https://www.hse.gov.uk/riddor/" TargetMode="External"/><Relationship Id="rId2" Type="http://schemas.openxmlformats.org/officeDocument/2006/relationships/customXml" Target="../customXml/item2.xml"/><Relationship Id="rId16" Type="http://schemas.openxmlformats.org/officeDocument/2006/relationships/hyperlink" Target="https://cadw.llyw.cymru/" TargetMode="External"/><Relationship Id="rId20" Type="http://schemas.openxmlformats.org/officeDocument/2006/relationships/hyperlink" Target="https://www.legislation.gov.uk/uksi/1992/2793/ma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hse.gov.uk/work-equipment-machinery/puwer.htm"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hse.gov.uk/construction/cdm/2015/index.htm"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legislation.gov.uk/uksi/1992/2966/contents/ma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hse-network.com/health-and-safety-at-work-act-1974-explained" TargetMode="External"/><Relationship Id="rId27" Type="http://schemas.openxmlformats.org/officeDocument/2006/relationships/hyperlink" Target="https://www.hse.gov.uk/work-equipment-machinery/loler.htm"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0C512-87A9-4318-93FB-1464F7A4E2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469D7F-6E4B-4461-A449-248537E4ECEB}">
  <ds:schemaRefs>
    <ds:schemaRef ds:uri="http://schemas.microsoft.com/sharepoint/v3/contenttype/forms"/>
  </ds:schemaRefs>
</ds:datastoreItem>
</file>

<file path=customXml/itemProps3.xml><?xml version="1.0" encoding="utf-8"?>
<ds:datastoreItem xmlns:ds="http://schemas.openxmlformats.org/officeDocument/2006/customXml" ds:itemID="{26E63FF9-4771-4CCA-AF86-AA4D871A9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2125</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2021-07-05T09:23:00Z</dcterms:created>
  <dcterms:modified xsi:type="dcterms:W3CDTF">2021-08-19T10:38:00Z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