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4AC1AF94" w:rsidR="00CC1C2A" w:rsidRDefault="00376CB6" w:rsidP="00AE0E53">
      <w:pPr>
        <w:pStyle w:val="Unittitle"/>
        <w:spacing w:after="200"/>
      </w:pPr>
      <w:r>
        <w:t>Uned 201: Cyflogaeth a chyflogadwyedd yn y sector adeiladu</w:t>
      </w:r>
    </w:p>
    <w:p w14:paraId="3719F5E0" w14:textId="5A6CEFD1" w:rsidR="009B0EE5" w:rsidRPr="00B32A7D" w:rsidRDefault="006B23A9" w:rsidP="00AE0E53">
      <w:pPr>
        <w:pStyle w:val="Heading1"/>
        <w:spacing w:after="200"/>
        <w:rPr>
          <w:sz w:val="28"/>
          <w:szCs w:val="28"/>
        </w:rPr>
        <w:sectPr w:rsidR="009B0EE5" w:rsidRPr="00B32A7D"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Pr>
          <w:sz w:val="28"/>
        </w:rPr>
        <w:t>Canllaw darparu</w:t>
      </w:r>
    </w:p>
    <w:p w14:paraId="79FA5A9A" w14:textId="1313B297" w:rsidR="0017259D" w:rsidRPr="009F1EE2" w:rsidRDefault="008005D4" w:rsidP="000F364F">
      <w:pPr>
        <w:pStyle w:val="Style1"/>
        <w:spacing w:before="0" w:line="240" w:lineRule="auto"/>
      </w:pPr>
      <w:r>
        <w:t>Gwybodaeth am yr uned</w:t>
      </w:r>
    </w:p>
    <w:p w14:paraId="25CF2B21" w14:textId="225DAC59" w:rsidR="003266B4" w:rsidRPr="00B32A7D" w:rsidRDefault="003266B4" w:rsidP="003266B4">
      <w:pPr>
        <w:spacing w:before="0" w:after="0" w:line="276" w:lineRule="auto"/>
        <w:contextualSpacing/>
        <w:rPr>
          <w:rFonts w:eastAsiaTheme="minorHAnsi" w:cs="Arial"/>
          <w:sz w:val="20"/>
          <w:szCs w:val="20"/>
        </w:rPr>
      </w:pPr>
      <w:r>
        <w:rPr>
          <w:sz w:val="20"/>
        </w:rPr>
        <w:t>Mae’r uned hon yn rhoi gwybodaeth i’r dysgwr am rai o’r agweddau ehangach yn y sector adeiladu. Bydd dysgwyr yn datblygu eu gwybodaeth, eu dealltwriaeth, a phan fo hynny’n berthnasol, eu sgiliau yng nghyswllt y canlynol:</w:t>
      </w:r>
    </w:p>
    <w:p w14:paraId="17B64A50" w14:textId="77777777" w:rsidR="003266B4" w:rsidRPr="00B32A7D" w:rsidRDefault="003266B4" w:rsidP="00B061A7">
      <w:pPr>
        <w:pStyle w:val="Normalbulletlist"/>
        <w:rPr>
          <w:rFonts w:eastAsiaTheme="minorHAnsi"/>
          <w:sz w:val="20"/>
          <w:szCs w:val="20"/>
        </w:rPr>
      </w:pPr>
      <w:r>
        <w:rPr>
          <w:sz w:val="20"/>
        </w:rPr>
        <w:t>y cyrff a’r sefydliadau crefft perthnasol yn y sector adeiladu</w:t>
      </w:r>
    </w:p>
    <w:p w14:paraId="474D90D1" w14:textId="77777777" w:rsidR="003266B4" w:rsidRPr="00B32A7D" w:rsidRDefault="003266B4" w:rsidP="00B061A7">
      <w:pPr>
        <w:pStyle w:val="Normalbulletlist"/>
        <w:rPr>
          <w:rFonts w:eastAsiaTheme="minorHAnsi"/>
          <w:sz w:val="20"/>
          <w:szCs w:val="20"/>
        </w:rPr>
      </w:pPr>
      <w:r>
        <w:rPr>
          <w:sz w:val="20"/>
        </w:rPr>
        <w:t xml:space="preserve">prif egwyddorion hunangyflogaeth yn y sector adeiladu </w:t>
      </w:r>
    </w:p>
    <w:p w14:paraId="05B96CC8" w14:textId="77777777" w:rsidR="003266B4" w:rsidRPr="00B32A7D" w:rsidRDefault="003266B4" w:rsidP="00B061A7">
      <w:pPr>
        <w:pStyle w:val="Normalbulletlist"/>
        <w:rPr>
          <w:rFonts w:eastAsiaTheme="minorHAnsi"/>
          <w:sz w:val="20"/>
          <w:szCs w:val="20"/>
        </w:rPr>
      </w:pPr>
      <w:r>
        <w:rPr>
          <w:sz w:val="20"/>
        </w:rPr>
        <w:t>pwysigrwydd sgiliau rhyngbersonol</w:t>
      </w:r>
    </w:p>
    <w:p w14:paraId="490FB3A2" w14:textId="50B3EF75" w:rsidR="003266B4" w:rsidRPr="00B32A7D" w:rsidRDefault="003266B4" w:rsidP="00B061A7">
      <w:pPr>
        <w:pStyle w:val="Normalbulletlist"/>
        <w:rPr>
          <w:rFonts w:eastAsiaTheme="minorHAnsi"/>
          <w:sz w:val="20"/>
          <w:szCs w:val="20"/>
        </w:rPr>
      </w:pPr>
      <w:r>
        <w:rPr>
          <w:sz w:val="20"/>
        </w:rPr>
        <w:t>datrys problemau o fewn eu cwmpas cyfrifoldeb.</w:t>
      </w:r>
    </w:p>
    <w:p w14:paraId="21F64767" w14:textId="77777777" w:rsidR="00B32A7D" w:rsidRPr="00B32A7D" w:rsidRDefault="00B32A7D" w:rsidP="00B32A7D">
      <w:pPr>
        <w:pStyle w:val="Normalbulletlist"/>
        <w:numPr>
          <w:ilvl w:val="0"/>
          <w:numId w:val="0"/>
        </w:numPr>
        <w:ind w:left="284" w:hanging="284"/>
        <w:rPr>
          <w:rFonts w:eastAsiaTheme="minorHAnsi"/>
          <w:sz w:val="20"/>
          <w:szCs w:val="20"/>
        </w:rPr>
      </w:pPr>
    </w:p>
    <w:p w14:paraId="7A65F3E9" w14:textId="77777777" w:rsidR="003266B4" w:rsidRPr="00B32A7D" w:rsidRDefault="003266B4" w:rsidP="003266B4">
      <w:pPr>
        <w:spacing w:before="0" w:after="0" w:line="276" w:lineRule="auto"/>
        <w:contextualSpacing/>
        <w:rPr>
          <w:rFonts w:eastAsiaTheme="minorHAnsi" w:cs="Arial"/>
          <w:sz w:val="20"/>
          <w:szCs w:val="20"/>
        </w:rPr>
      </w:pPr>
      <w:r>
        <w:rPr>
          <w:sz w:val="20"/>
        </w:rPr>
        <w:t>Gellir cyflwyno dysgwyr i’r uned hon drwy eu cymell i ofyn cwestiynau iddyn nhw eu hunain fel:</w:t>
      </w:r>
    </w:p>
    <w:p w14:paraId="344B343F" w14:textId="77777777" w:rsidR="003266B4" w:rsidRPr="00B32A7D" w:rsidRDefault="003266B4" w:rsidP="001000A0">
      <w:pPr>
        <w:pStyle w:val="Normalbulletlist"/>
        <w:rPr>
          <w:rFonts w:eastAsia="Arial"/>
          <w:sz w:val="20"/>
          <w:szCs w:val="20"/>
        </w:rPr>
      </w:pPr>
      <w:r>
        <w:rPr>
          <w:sz w:val="20"/>
        </w:rPr>
        <w:t>Beth yw ymarfer myfyriol a phryd fydd angen i mi ei ddefnyddio?</w:t>
      </w:r>
    </w:p>
    <w:p w14:paraId="44201F71" w14:textId="77777777" w:rsidR="003266B4" w:rsidRPr="00B32A7D" w:rsidRDefault="003266B4" w:rsidP="001000A0">
      <w:pPr>
        <w:pStyle w:val="Normalbulletlist"/>
        <w:rPr>
          <w:rFonts w:eastAsia="Arial"/>
          <w:sz w:val="20"/>
          <w:szCs w:val="20"/>
        </w:rPr>
      </w:pPr>
      <w:r>
        <w:rPr>
          <w:sz w:val="20"/>
        </w:rPr>
        <w:t>Beth mae Ffederasiwn y Meistr Adeiladwyr yn ei wneud?</w:t>
      </w:r>
    </w:p>
    <w:p w14:paraId="1F6301A0" w14:textId="77777777" w:rsidR="003266B4" w:rsidRPr="00B32A7D" w:rsidRDefault="003266B4" w:rsidP="001000A0">
      <w:pPr>
        <w:pStyle w:val="Normalbulletlist"/>
        <w:rPr>
          <w:rFonts w:eastAsia="Arial"/>
          <w:sz w:val="20"/>
          <w:szCs w:val="20"/>
        </w:rPr>
      </w:pPr>
      <w:r>
        <w:rPr>
          <w:sz w:val="20"/>
        </w:rPr>
        <w:t xml:space="preserve">Beth yw cerdyn CSCS a sut mae cael un? </w:t>
      </w:r>
    </w:p>
    <w:p w14:paraId="0BE72607" w14:textId="001E037A" w:rsidR="005E3BD4" w:rsidRPr="00B32A7D" w:rsidRDefault="003266B4" w:rsidP="001000A0">
      <w:pPr>
        <w:pStyle w:val="Normalbulletlist"/>
        <w:rPr>
          <w:rFonts w:eastAsia="Arial"/>
          <w:sz w:val="20"/>
          <w:szCs w:val="20"/>
        </w:rPr>
      </w:pPr>
      <w:r>
        <w:rPr>
          <w:sz w:val="20"/>
        </w:rPr>
        <w:t>Beth sydd angen i mi ei ystyried am fod yn hunangyflogedig?</w:t>
      </w:r>
    </w:p>
    <w:p w14:paraId="1A78169F" w14:textId="77777777" w:rsidR="00B32A7D" w:rsidRPr="005E3BD4" w:rsidRDefault="00B32A7D" w:rsidP="00B32A7D">
      <w:pPr>
        <w:pStyle w:val="Normalbulletlist"/>
        <w:numPr>
          <w:ilvl w:val="0"/>
          <w:numId w:val="0"/>
        </w:numPr>
        <w:ind w:left="284" w:hanging="284"/>
        <w:rPr>
          <w:rFonts w:eastAsia="Arial"/>
          <w:lang w:eastAsia="en-GB"/>
        </w:rPr>
      </w:pPr>
    </w:p>
    <w:p w14:paraId="290C73A4" w14:textId="7E4FD8B5" w:rsidR="004D0BA5" w:rsidRPr="009F1EE2" w:rsidRDefault="004D0BA5" w:rsidP="000F364F">
      <w:pPr>
        <w:pStyle w:val="Style1"/>
        <w:spacing w:before="0" w:line="240" w:lineRule="auto"/>
      </w:pPr>
      <w:r>
        <w:t>Deilliannau dysgu</w:t>
      </w:r>
    </w:p>
    <w:p w14:paraId="059A1282" w14:textId="05BC6CED" w:rsidR="004D0BA5" w:rsidRPr="00B32A7D" w:rsidRDefault="001C0CA5" w:rsidP="001000A0">
      <w:pPr>
        <w:pStyle w:val="Normalnumberedlist"/>
        <w:rPr>
          <w:sz w:val="20"/>
          <w:szCs w:val="20"/>
        </w:rPr>
      </w:pPr>
      <w:r>
        <w:rPr>
          <w:sz w:val="20"/>
        </w:rPr>
        <w:t>Gwybod am y cyrff a’r sefydliadau crefft yn y sector adeiladu</w:t>
      </w:r>
    </w:p>
    <w:p w14:paraId="02C4AC0B" w14:textId="2F6291B1" w:rsidR="004D0BA5" w:rsidRPr="00B32A7D" w:rsidRDefault="004D0BA5" w:rsidP="001000A0">
      <w:pPr>
        <w:pStyle w:val="Normalnumberedlist"/>
        <w:rPr>
          <w:sz w:val="20"/>
          <w:szCs w:val="20"/>
        </w:rPr>
      </w:pPr>
      <w:r>
        <w:rPr>
          <w:sz w:val="20"/>
        </w:rPr>
        <w:t xml:space="preserve">Gwybod beth yw prif egwyddorion hunangyflogaeth yn y sector adeiladu </w:t>
      </w:r>
    </w:p>
    <w:p w14:paraId="7F4DD5FD" w14:textId="7840928F" w:rsidR="00DF022A" w:rsidRPr="00B32A7D" w:rsidRDefault="004D0BA5" w:rsidP="001000A0">
      <w:pPr>
        <w:pStyle w:val="Normalnumberedlist"/>
        <w:rPr>
          <w:sz w:val="20"/>
          <w:szCs w:val="20"/>
        </w:rPr>
      </w:pPr>
      <w:r>
        <w:rPr>
          <w:sz w:val="20"/>
        </w:rPr>
        <w:t>Gwybod am bwysigrwydd sgiliau rhyngbersonol</w:t>
      </w:r>
    </w:p>
    <w:p w14:paraId="47EA2464" w14:textId="77777777" w:rsidR="00B32A7D" w:rsidRDefault="00DF022A" w:rsidP="001000A0">
      <w:pPr>
        <w:pStyle w:val="Normalnumberedlist"/>
        <w:rPr>
          <w:sz w:val="20"/>
          <w:szCs w:val="20"/>
        </w:rPr>
      </w:pPr>
      <w:r>
        <w:rPr>
          <w:sz w:val="20"/>
        </w:rPr>
        <w:t>Gwybod sut i ddatrys problemau o fewn cwmpas ei gyfrifoldeb ei hun</w:t>
      </w:r>
    </w:p>
    <w:p w14:paraId="446CD028" w14:textId="77777777" w:rsidR="00B32A7D" w:rsidRDefault="00B32A7D" w:rsidP="00B32A7D">
      <w:pPr>
        <w:pStyle w:val="Normalnumberedlist"/>
        <w:numPr>
          <w:ilvl w:val="0"/>
          <w:numId w:val="0"/>
        </w:numPr>
        <w:ind w:left="357" w:hanging="357"/>
        <w:rPr>
          <w:sz w:val="20"/>
          <w:szCs w:val="20"/>
        </w:rPr>
      </w:pPr>
    </w:p>
    <w:p w14:paraId="1B1E7B97" w14:textId="77777777" w:rsidR="00AE0E53" w:rsidRDefault="00AE0E53" w:rsidP="00B32A7D">
      <w:pPr>
        <w:pStyle w:val="Normalnumberedlist"/>
        <w:numPr>
          <w:ilvl w:val="0"/>
          <w:numId w:val="0"/>
        </w:numPr>
        <w:ind w:left="357" w:hanging="357"/>
        <w:rPr>
          <w:sz w:val="20"/>
          <w:szCs w:val="20"/>
        </w:rPr>
      </w:pPr>
    </w:p>
    <w:p w14:paraId="3FD18037" w14:textId="3A95AD19" w:rsidR="00DF022A" w:rsidRPr="00B32A7D" w:rsidRDefault="00DF022A" w:rsidP="00B32A7D">
      <w:pPr>
        <w:pStyle w:val="Normalnumberedlist"/>
        <w:numPr>
          <w:ilvl w:val="0"/>
          <w:numId w:val="0"/>
        </w:numPr>
        <w:ind w:left="357" w:hanging="357"/>
        <w:rPr>
          <w:sz w:val="20"/>
          <w:szCs w:val="20"/>
        </w:rPr>
      </w:pPr>
      <w:r>
        <w:rPr>
          <w:sz w:val="20"/>
        </w:rPr>
        <w:br/>
      </w:r>
    </w:p>
    <w:p w14:paraId="05E8087E" w14:textId="2F598C97" w:rsidR="004D0BA5" w:rsidRPr="00B32A7D" w:rsidRDefault="00DF022A" w:rsidP="000F364F">
      <w:pPr>
        <w:pStyle w:val="Style1"/>
        <w:spacing w:before="0" w:line="240" w:lineRule="auto"/>
        <w:rPr>
          <w:sz w:val="20"/>
          <w:szCs w:val="20"/>
        </w:rPr>
      </w:pPr>
      <w:r>
        <w:t>Adnoddau a awgrymir</w:t>
      </w:r>
    </w:p>
    <w:p w14:paraId="189BBB36" w14:textId="77777777" w:rsidR="00F846F7" w:rsidRPr="00B32A7D" w:rsidRDefault="00F846F7" w:rsidP="00B32A7D">
      <w:pPr>
        <w:pStyle w:val="Normalheadingblack"/>
        <w:spacing w:before="40" w:after="40"/>
        <w:rPr>
          <w:sz w:val="20"/>
          <w:szCs w:val="20"/>
        </w:rPr>
      </w:pPr>
      <w:r>
        <w:rPr>
          <w:sz w:val="20"/>
        </w:rPr>
        <w:t>Gwerslyfrau</w:t>
      </w:r>
    </w:p>
    <w:p w14:paraId="585FB907" w14:textId="4D74B949" w:rsidR="00F846F7" w:rsidRPr="00AE0E53" w:rsidRDefault="00F846F7" w:rsidP="00B32A7D">
      <w:pPr>
        <w:pStyle w:val="Normalbulletlist"/>
        <w:rPr>
          <w:sz w:val="18"/>
          <w:szCs w:val="18"/>
        </w:rPr>
      </w:pPr>
      <w:r>
        <w:rPr>
          <w:sz w:val="18"/>
        </w:rPr>
        <w:t xml:space="preserve">Gashe, M. and Byrne, K. (2020) </w:t>
      </w:r>
      <w:r>
        <w:rPr>
          <w:i/>
          <w:sz w:val="18"/>
        </w:rPr>
        <w:t>The City &amp; Guilds Textbook in Plastering for Levels 1 and 2 Diploma (6708) and Level 2 Technical Certificate (7908)</w:t>
      </w:r>
      <w:r>
        <w:rPr>
          <w:sz w:val="18"/>
        </w:rPr>
        <w:t>. London: Hodder Education. ISBN 978-1-39830-647-9</w:t>
      </w:r>
    </w:p>
    <w:p w14:paraId="6B4A22DF" w14:textId="77777777" w:rsidR="00F846F7" w:rsidRPr="00AE0E53" w:rsidRDefault="00F846F7" w:rsidP="00F846F7">
      <w:pPr>
        <w:pStyle w:val="Normalbulletlist"/>
        <w:rPr>
          <w:sz w:val="18"/>
          <w:szCs w:val="18"/>
        </w:rPr>
      </w:pPr>
      <w:r>
        <w:rPr>
          <w:sz w:val="18"/>
        </w:rPr>
        <w:t xml:space="preserve">Honey, P., Mumford, A. (2021) </w:t>
      </w:r>
      <w:r>
        <w:rPr>
          <w:i/>
          <w:sz w:val="18"/>
        </w:rPr>
        <w:t>Learning Styles Questionnaire</w:t>
      </w:r>
      <w:r>
        <w:rPr>
          <w:sz w:val="18"/>
        </w:rPr>
        <w:t>. London: Pearson Education Limited. ISBN 978-1-90289-929-9</w:t>
      </w:r>
    </w:p>
    <w:p w14:paraId="4D9B6EE9" w14:textId="4D5EDA18" w:rsidR="00F846F7" w:rsidRPr="00AE0E53" w:rsidRDefault="00F846F7" w:rsidP="00FD573A">
      <w:pPr>
        <w:pStyle w:val="Normalbulletlist"/>
        <w:rPr>
          <w:sz w:val="18"/>
          <w:szCs w:val="18"/>
        </w:rPr>
      </w:pPr>
      <w:r>
        <w:rPr>
          <w:sz w:val="18"/>
        </w:rPr>
        <w:t xml:space="preserve">Kolb, D. (2015) </w:t>
      </w:r>
      <w:r>
        <w:rPr>
          <w:i/>
          <w:sz w:val="18"/>
        </w:rPr>
        <w:t>Experiential Learning: Experience as the Source of Learning and Development</w:t>
      </w:r>
      <w:r>
        <w:rPr>
          <w:sz w:val="18"/>
        </w:rPr>
        <w:t>, 2nd edition. London: Pearson FT Press. ISBN 978-0-13389-240-6</w:t>
      </w:r>
    </w:p>
    <w:p w14:paraId="1834665B" w14:textId="0F15AD06" w:rsidR="006762D6" w:rsidRPr="00B32A7D" w:rsidRDefault="006762D6" w:rsidP="00B32A7D">
      <w:pPr>
        <w:pStyle w:val="Normalheadingblack"/>
        <w:spacing w:before="40" w:after="40"/>
        <w:rPr>
          <w:sz w:val="20"/>
          <w:szCs w:val="20"/>
        </w:rPr>
      </w:pPr>
      <w:r>
        <w:rPr>
          <w:sz w:val="20"/>
        </w:rPr>
        <w:t>Gwefannau</w:t>
      </w:r>
    </w:p>
    <w:p w14:paraId="19521EDA" w14:textId="3747D23F" w:rsidR="001C0CA5" w:rsidRPr="00AE0E53" w:rsidRDefault="2AD8199F" w:rsidP="28A6841D">
      <w:pPr>
        <w:pStyle w:val="Normalbulletlist"/>
        <w:rPr>
          <w:rStyle w:val="Hyperlink"/>
          <w:rFonts w:eastAsia="Arial" w:cs="Arial"/>
          <w:sz w:val="18"/>
          <w:szCs w:val="18"/>
        </w:rPr>
      </w:pPr>
      <w:r>
        <w:rPr>
          <w:rStyle w:val="Hyperlink"/>
          <w:sz w:val="18"/>
        </w:rPr>
        <w:t xml:space="preserve">hse.gov.uk | </w:t>
      </w:r>
      <w:hyperlink r:id="rId12">
        <w:r>
          <w:rPr>
            <w:rStyle w:val="Hyperlink"/>
            <w:sz w:val="18"/>
            <w:szCs w:val="18"/>
          </w:rPr>
          <w:t>Information about health and safety at work</w:t>
        </w:r>
      </w:hyperlink>
    </w:p>
    <w:p w14:paraId="2B117238" w14:textId="58C8E1FD" w:rsidR="00F3360B" w:rsidRPr="00AE0E53" w:rsidRDefault="00970E88" w:rsidP="28A6841D">
      <w:pPr>
        <w:pStyle w:val="Normalbulletlist"/>
        <w:rPr>
          <w:rFonts w:eastAsia="Arial" w:cs="Arial"/>
          <w:color w:val="0000FF"/>
          <w:sz w:val="18"/>
          <w:szCs w:val="18"/>
        </w:rPr>
      </w:pPr>
      <w:hyperlink r:id="rId13" w:anchor=":~:text=Started%20in%201997%2C%20the%20Considerate%20Constructors%20Scheme%20was,monitoring%20of%20sites%20in%20the%20UK%20and%20Ireland.">
        <w:r w:rsidR="00ED7200">
          <w:rPr>
            <w:rStyle w:val="Hyperlink"/>
            <w:sz w:val="18"/>
            <w:szCs w:val="18"/>
          </w:rPr>
          <w:t xml:space="preserve">ccscheme | </w:t>
        </w:r>
      </w:hyperlink>
      <w:hyperlink r:id="rId14" w:anchor=":~:text=Started%20in%201997%2C%20the%20Considerate%20Constructors%20Scheme%20was,monitoring%20of%20sites%20in%20the%20UK%20and%20Ireland.">
        <w:r w:rsidR="00ED7200">
          <w:rPr>
            <w:rStyle w:val="Hyperlink"/>
            <w:sz w:val="18"/>
            <w:szCs w:val="18"/>
          </w:rPr>
          <w:t>Site Registration</w:t>
        </w:r>
      </w:hyperlink>
    </w:p>
    <w:p w14:paraId="7777747D" w14:textId="69480D13" w:rsidR="00B8154A" w:rsidRPr="00AE0E53" w:rsidRDefault="00970E88" w:rsidP="00A63F2B">
      <w:pPr>
        <w:pStyle w:val="Normalbulletlist"/>
        <w:rPr>
          <w:rFonts w:eastAsia="Arial" w:cs="Arial"/>
          <w:color w:val="0000FF"/>
          <w:sz w:val="18"/>
          <w:szCs w:val="18"/>
        </w:rPr>
      </w:pPr>
      <w:hyperlink r:id="rId15">
        <w:r w:rsidR="00ED7200">
          <w:rPr>
            <w:rStyle w:val="Hyperlink"/>
            <w:sz w:val="18"/>
            <w:szCs w:val="18"/>
          </w:rPr>
          <w:t xml:space="preserve">Heritage Help | </w:t>
        </w:r>
      </w:hyperlink>
      <w:hyperlink r:id="rId16">
        <w:r w:rsidR="00ED7200">
          <w:rPr>
            <w:rStyle w:val="Hyperlink"/>
            <w:sz w:val="18"/>
            <w:szCs w:val="18"/>
          </w:rPr>
          <w:t>Society for the Protection of Ancient Buildings (SPAB)</w:t>
        </w:r>
      </w:hyperlink>
    </w:p>
    <w:p w14:paraId="0F995B8D" w14:textId="54B8CF92" w:rsidR="000672A3" w:rsidRPr="00AE0E53" w:rsidRDefault="00970E88" w:rsidP="00A63F2B">
      <w:pPr>
        <w:pStyle w:val="Normalbulletlist"/>
        <w:rPr>
          <w:rFonts w:eastAsia="Arial" w:cs="Arial"/>
          <w:color w:val="0000FF"/>
          <w:sz w:val="18"/>
          <w:szCs w:val="18"/>
        </w:rPr>
      </w:pPr>
      <w:hyperlink r:id="rId17">
        <w:r w:rsidR="00ED7200">
          <w:rPr>
            <w:rStyle w:val="Hyperlink"/>
            <w:sz w:val="18"/>
            <w:szCs w:val="18"/>
          </w:rPr>
          <w:t xml:space="preserve">Construction Cert | </w:t>
        </w:r>
      </w:hyperlink>
      <w:hyperlink r:id="rId18">
        <w:r w:rsidR="00ED7200">
          <w:rPr>
            <w:rStyle w:val="Hyperlink"/>
            <w:sz w:val="18"/>
            <w:szCs w:val="18"/>
          </w:rPr>
          <w:t>Book Your CSCS Test, CITB Health &amp; Safety Environment Test</w:t>
        </w:r>
      </w:hyperlink>
    </w:p>
    <w:p w14:paraId="4A343BCA" w14:textId="06FF0F46" w:rsidR="00F73AB5" w:rsidRPr="00AE0E53" w:rsidRDefault="00970E88" w:rsidP="00A63F2B">
      <w:pPr>
        <w:pStyle w:val="Normalbulletlist"/>
        <w:rPr>
          <w:rStyle w:val="Hyperlink"/>
          <w:rFonts w:eastAsia="Arial" w:cs="Arial"/>
          <w:sz w:val="18"/>
          <w:szCs w:val="18"/>
          <w:u w:val="none"/>
        </w:rPr>
      </w:pPr>
      <w:hyperlink r:id="rId19">
        <w:r w:rsidR="00ED7200">
          <w:rPr>
            <w:rStyle w:val="Hyperlink"/>
            <w:sz w:val="18"/>
            <w:szCs w:val="18"/>
          </w:rPr>
          <w:t xml:space="preserve">Unite the Union | </w:t>
        </w:r>
      </w:hyperlink>
      <w:hyperlink r:id="rId20">
        <w:r w:rsidR="00ED7200">
          <w:rPr>
            <w:rStyle w:val="Hyperlink"/>
            <w:sz w:val="18"/>
            <w:szCs w:val="18"/>
          </w:rPr>
          <w:t>Unite Construction, Allied Trades and Technicians</w:t>
        </w:r>
      </w:hyperlink>
    </w:p>
    <w:p w14:paraId="0A14731C" w14:textId="01F9A75B" w:rsidR="000A461C" w:rsidRPr="00AE0E53" w:rsidRDefault="00970E88" w:rsidP="00384A59">
      <w:pPr>
        <w:pStyle w:val="Normalbulletlist"/>
        <w:rPr>
          <w:rFonts w:eastAsia="Arial" w:cs="Arial"/>
          <w:color w:val="0000FF"/>
          <w:sz w:val="18"/>
          <w:szCs w:val="18"/>
        </w:rPr>
      </w:pPr>
      <w:hyperlink r:id="rId21" w:history="1">
        <w:r w:rsidR="00ED7200">
          <w:rPr>
            <w:rStyle w:val="Hyperlink"/>
            <w:sz w:val="18"/>
            <w:szCs w:val="18"/>
          </w:rPr>
          <w:t>gov.uk | About us – HM Revenue and Customs</w:t>
        </w:r>
      </w:hyperlink>
    </w:p>
    <w:p w14:paraId="0B40831B" w14:textId="78092F75" w:rsidR="009A4E5B" w:rsidRPr="00AE0E53" w:rsidRDefault="00970E88" w:rsidP="00A06EC8">
      <w:pPr>
        <w:pStyle w:val="Normalbulletlist"/>
        <w:rPr>
          <w:rFonts w:eastAsia="Arial" w:cs="Arial"/>
          <w:color w:val="0000FF"/>
          <w:sz w:val="18"/>
          <w:szCs w:val="18"/>
        </w:rPr>
      </w:pPr>
      <w:hyperlink r:id="rId22">
        <w:r w:rsidR="00ED7200">
          <w:rPr>
            <w:rStyle w:val="Hyperlink"/>
            <w:sz w:val="18"/>
            <w:szCs w:val="18"/>
          </w:rPr>
          <w:t xml:space="preserve">The Telegraph | </w:t>
        </w:r>
      </w:hyperlink>
      <w:hyperlink r:id="rId23">
        <w:r w:rsidR="00ED7200">
          <w:rPr>
            <w:rStyle w:val="Hyperlink"/>
            <w:sz w:val="18"/>
            <w:szCs w:val="18"/>
          </w:rPr>
          <w:t>Recession casualties:</w:t>
        </w:r>
      </w:hyperlink>
      <w:hyperlink r:id="rId24">
        <w:r w:rsidR="00ED7200">
          <w:rPr>
            <w:rStyle w:val="Hyperlink"/>
            <w:sz w:val="18"/>
            <w:szCs w:val="18"/>
          </w:rPr>
          <w:t xml:space="preserve"> Britain's construction industry counts cost of boom-and-bust</w:t>
        </w:r>
      </w:hyperlink>
    </w:p>
    <w:p w14:paraId="78BAD83F" w14:textId="165814EB" w:rsidR="00022C5D" w:rsidRPr="00AE0E53" w:rsidRDefault="00970E88" w:rsidP="00A63F2B">
      <w:pPr>
        <w:pStyle w:val="Normalbulletlist"/>
        <w:rPr>
          <w:rFonts w:eastAsia="Arial" w:cs="Arial"/>
          <w:color w:val="0000FF"/>
          <w:sz w:val="18"/>
          <w:szCs w:val="18"/>
        </w:rPr>
      </w:pPr>
      <w:hyperlink r:id="rId25">
        <w:r w:rsidR="00ED7200">
          <w:rPr>
            <w:rStyle w:val="Hyperlink"/>
            <w:sz w:val="18"/>
            <w:szCs w:val="18"/>
          </w:rPr>
          <w:t xml:space="preserve">zen.co.uk | </w:t>
        </w:r>
      </w:hyperlink>
      <w:hyperlink r:id="rId26">
        <w:r w:rsidR="00ED7200">
          <w:rPr>
            <w:rStyle w:val="Hyperlink"/>
            <w:sz w:val="18"/>
            <w:szCs w:val="18"/>
          </w:rPr>
          <w:t>Business Cycles, Recessions and Economic Booms</w:t>
        </w:r>
      </w:hyperlink>
      <w:r w:rsidR="00ED7200">
        <w:rPr>
          <w:sz w:val="18"/>
        </w:rPr>
        <w:t xml:space="preserve"> </w:t>
      </w:r>
    </w:p>
    <w:p w14:paraId="21FF1B8D" w14:textId="15522050" w:rsidR="00E9058E" w:rsidRPr="00AE0E53" w:rsidRDefault="00970E88" w:rsidP="00022C5D">
      <w:pPr>
        <w:pStyle w:val="Normalbulletlist"/>
        <w:rPr>
          <w:rFonts w:eastAsia="Arial" w:cs="Arial"/>
          <w:color w:val="0000FF"/>
          <w:sz w:val="18"/>
          <w:szCs w:val="18"/>
        </w:rPr>
      </w:pPr>
      <w:hyperlink r:id="rId27" w:anchor=":~:text=%20Benefits%20of%20Emotional%20Intelligence%20in%20the%20Workplace,positive%20about%20their%20work%20and%20their...%20More%20">
        <w:r w:rsidR="00ED7200">
          <w:rPr>
            <w:rStyle w:val="Hyperlink"/>
            <w:sz w:val="18"/>
            <w:szCs w:val="18"/>
          </w:rPr>
          <w:t xml:space="preserve">High Speed Training | </w:t>
        </w:r>
      </w:hyperlink>
      <w:hyperlink r:id="rId28" w:anchor=":~:text=%20Benefits%20of%20Emotional%20Intelligence%20in%20the%20Workplace,positive%20about%20their%20work%20and%20their...%20More%20">
        <w:r w:rsidR="00ED7200">
          <w:rPr>
            <w:rStyle w:val="Hyperlink"/>
            <w:sz w:val="18"/>
            <w:szCs w:val="18"/>
          </w:rPr>
          <w:t>What is EQ?</w:t>
        </w:r>
      </w:hyperlink>
      <w:hyperlink r:id="rId29" w:anchor=":~:text=%20Benefits%20of%20Emotional%20Intelligence%20in%20the%20Workplace,positive%20about%20their%20work%20and%20their...%20More%20">
        <w:r w:rsidR="00ED7200">
          <w:rPr>
            <w:rStyle w:val="Hyperlink"/>
            <w:sz w:val="18"/>
            <w:szCs w:val="18"/>
          </w:rPr>
          <w:t xml:space="preserve"> A Guide to Emotional Intelligence in the Workplace</w:t>
        </w:r>
      </w:hyperlink>
    </w:p>
    <w:p w14:paraId="478A1C57" w14:textId="5B631AAB" w:rsidR="00312CC4" w:rsidRPr="00AE0E53" w:rsidRDefault="00970E88" w:rsidP="00022C5D">
      <w:pPr>
        <w:pStyle w:val="Normalbulletlist"/>
        <w:rPr>
          <w:rFonts w:eastAsia="Arial" w:cs="Arial"/>
          <w:color w:val="0000FF"/>
          <w:sz w:val="18"/>
          <w:szCs w:val="18"/>
        </w:rPr>
      </w:pPr>
      <w:hyperlink r:id="rId30" w:anchor=":~:text=Used%20together%20%E2%80%99Equality%20and%20Diversity%E2%80%99%20is%20a%20term,free%20from%20prejudice%20and%20bias.%20Equality%20Act%202010">
        <w:r w:rsidR="00ED7200">
          <w:rPr>
            <w:rStyle w:val="Hyperlink"/>
            <w:sz w:val="18"/>
            <w:szCs w:val="18"/>
          </w:rPr>
          <w:t xml:space="preserve">Engage in Learning | </w:t>
        </w:r>
      </w:hyperlink>
      <w:hyperlink r:id="rId31" w:anchor=":~:text=Used%20together%20%E2%80%99Equality%20and%20Diversity%E2%80%99%20is%20a%20term,free%20from%20prejudice%20and%20bias.%20Equality%20Act%202010">
        <w:r w:rsidR="00ED7200">
          <w:rPr>
            <w:rStyle w:val="Hyperlink"/>
            <w:sz w:val="18"/>
            <w:szCs w:val="18"/>
          </w:rPr>
          <w:t>What is Meant by the Term Equality and Diversity?</w:t>
        </w:r>
      </w:hyperlink>
    </w:p>
    <w:p w14:paraId="13B74F24" w14:textId="7F344D42" w:rsidR="00312CC4" w:rsidRPr="00AE0E53" w:rsidRDefault="00970E88" w:rsidP="00022C5D">
      <w:pPr>
        <w:pStyle w:val="Normalbulletlist"/>
        <w:rPr>
          <w:rFonts w:eastAsia="Arial" w:cs="Arial"/>
          <w:color w:val="0000FF"/>
          <w:sz w:val="18"/>
          <w:szCs w:val="18"/>
        </w:rPr>
      </w:pPr>
      <w:hyperlink r:id="rId32">
        <w:r w:rsidR="00ED7200">
          <w:rPr>
            <w:rStyle w:val="Hyperlink"/>
            <w:sz w:val="18"/>
            <w:szCs w:val="18"/>
          </w:rPr>
          <w:t xml:space="preserve">Twinkl | </w:t>
        </w:r>
      </w:hyperlink>
      <w:hyperlink r:id="rId33">
        <w:r w:rsidR="00ED7200">
          <w:rPr>
            <w:rStyle w:val="Hyperlink"/>
            <w:sz w:val="18"/>
            <w:szCs w:val="18"/>
          </w:rPr>
          <w:t>What is Success Criteria?</w:t>
        </w:r>
      </w:hyperlink>
      <w:r w:rsidR="00ED7200">
        <w:rPr>
          <w:sz w:val="18"/>
        </w:rPr>
        <w:t xml:space="preserve"> </w:t>
      </w:r>
    </w:p>
    <w:p w14:paraId="196A4097" w14:textId="452ED89E" w:rsidR="00312CC4" w:rsidRPr="00AE0E53" w:rsidRDefault="00970E88" w:rsidP="00022C5D">
      <w:pPr>
        <w:pStyle w:val="Normalbulletlist"/>
        <w:rPr>
          <w:rFonts w:eastAsia="Arial" w:cs="Arial"/>
          <w:color w:val="0000FF"/>
          <w:sz w:val="18"/>
          <w:szCs w:val="18"/>
        </w:rPr>
      </w:pPr>
      <w:hyperlink r:id="rId34">
        <w:r w:rsidR="00ED7200">
          <w:rPr>
            <w:rStyle w:val="Hyperlink"/>
            <w:sz w:val="18"/>
            <w:szCs w:val="18"/>
          </w:rPr>
          <w:t xml:space="preserve">University of the People | </w:t>
        </w:r>
      </w:hyperlink>
      <w:hyperlink r:id="rId35">
        <w:r w:rsidR="00ED7200">
          <w:rPr>
            <w:rStyle w:val="Hyperlink"/>
            <w:sz w:val="18"/>
            <w:szCs w:val="18"/>
          </w:rPr>
          <w:t>Interpersonal vs Intrapersonal:</w:t>
        </w:r>
      </w:hyperlink>
      <w:hyperlink r:id="rId36">
        <w:r w:rsidR="00ED7200">
          <w:rPr>
            <w:rStyle w:val="Hyperlink"/>
            <w:sz w:val="18"/>
            <w:szCs w:val="18"/>
          </w:rPr>
          <w:t xml:space="preserve"> Keys to Communicate</w:t>
        </w:r>
      </w:hyperlink>
      <w:r w:rsidR="00ED7200">
        <w:rPr>
          <w:sz w:val="18"/>
        </w:rPr>
        <w:t xml:space="preserve"> </w:t>
      </w: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3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lastRenderedPageBreak/>
              <w:t>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color w:val="FFFFFF" w:themeColor="background1"/>
              </w:rPr>
              <w:t>Canllawiau darparu</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72551450" w:rsidR="000355F3" w:rsidRPr="00CD50CC" w:rsidRDefault="000355F3" w:rsidP="00C85C02">
            <w:pPr>
              <w:pStyle w:val="ListParagraph"/>
              <w:numPr>
                <w:ilvl w:val="0"/>
                <w:numId w:val="37"/>
              </w:numPr>
              <w:adjustRightInd w:val="0"/>
              <w:spacing w:line="240" w:lineRule="auto"/>
              <w:contextualSpacing w:val="0"/>
            </w:pPr>
            <w:r>
              <w:t>Gwybod am y cyrff a’r sefydliadau crefft yn y sector adeiladu</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00879682" w:rsidR="000355F3" w:rsidRPr="00CD50CC" w:rsidRDefault="000355F3" w:rsidP="00C85C02">
            <w:pPr>
              <w:pStyle w:val="ListParagraph"/>
              <w:numPr>
                <w:ilvl w:val="1"/>
                <w:numId w:val="37"/>
              </w:numPr>
              <w:adjustRightInd w:val="0"/>
              <w:spacing w:line="240" w:lineRule="auto"/>
              <w:contextualSpacing w:val="0"/>
            </w:pPr>
            <w:r>
              <w:t>Y cyrff a’r sefydliadau crefft yn y sector adeiladu</w:t>
            </w:r>
          </w:p>
        </w:tc>
        <w:tc>
          <w:tcPr>
            <w:tcW w:w="7261" w:type="dxa"/>
            <w:tcBorders>
              <w:top w:val="nil"/>
            </w:tcBorders>
            <w:tcMar>
              <w:top w:w="108" w:type="dxa"/>
              <w:bottom w:w="108" w:type="dxa"/>
            </w:tcMar>
          </w:tcPr>
          <w:p w14:paraId="3237A098" w14:textId="6BC2D471" w:rsidR="000355F3" w:rsidRDefault="00FB4AB5" w:rsidP="00C85C02">
            <w:pPr>
              <w:pStyle w:val="Normalbulletlist"/>
            </w:pPr>
            <w:r>
              <w:t xml:space="preserve">Bydd dysgwyr yn deall rôl yr Awdurdod Gweithredol Iechyd a Diogelwch yn y diwydiant adeiladu. </w:t>
            </w:r>
          </w:p>
          <w:p w14:paraId="398A4577" w14:textId="02E5FDBF" w:rsidR="00957519" w:rsidRDefault="00957519" w:rsidP="00C85C02">
            <w:pPr>
              <w:pStyle w:val="Normalbulletlist"/>
            </w:pPr>
            <w:r>
              <w:t>Bydd dysgwyr yn gyfarwydd â sefydliadau fel Build UK, Federation of Master Builders (FMB), Considerate Constructors, National Federation of Builders (NFB).</w:t>
            </w:r>
          </w:p>
          <w:p w14:paraId="746151CE" w14:textId="111C37C6" w:rsidR="00F3360B" w:rsidRDefault="00F3360B" w:rsidP="00C85C02">
            <w:pPr>
              <w:pStyle w:val="Normalbulletlist"/>
            </w:pPr>
            <w:r>
              <w:t>Bydd dysgwyr yn ymchwilio i sefydliadau arbenigol ym maes adeiladu fel y National Fire Protection Association (NFPA), National Federation of Roofing Contractors (NFRC), Natural Stone Industry Training Group (NSITG), Association of Concrete Industrial Flooring Contractors (ACIFC), Society for the Protection of Ancient Buildings (SPAB), Institution of Civil Engineers (ICE) a Civil Engineering Contractors Association Wales (CECAW).</w:t>
            </w:r>
          </w:p>
          <w:p w14:paraId="09DB2584" w14:textId="136D0071" w:rsidR="00F3360B" w:rsidRDefault="00F3360B" w:rsidP="00C85C02">
            <w:pPr>
              <w:pStyle w:val="Normalbulletlist"/>
            </w:pPr>
            <w:r>
              <w:t>Bydd dysgwyr yn ymwybodol o gynllun cardiau’r Cynllun Ardystio Sgiliau Adeiladu (CSCS) ym maes adeiladu.</w:t>
            </w:r>
          </w:p>
          <w:p w14:paraId="2A00CCDD" w14:textId="77777777" w:rsidR="003316BA" w:rsidRDefault="003316BA" w:rsidP="00C85C02">
            <w:pPr>
              <w:pStyle w:val="Normalbulletlist"/>
            </w:pPr>
            <w:r>
              <w:t>Bydd dysgwyr yn gallu adnabod y ffederasiynau crefft penodol sy’n cefnogi eu crefft, ac amrywiaeth o gymdeithasau ychwanegol sy’n cefnogi elfennau mwy arbenigol eu crefft.</w:t>
            </w:r>
          </w:p>
          <w:p w14:paraId="52A1A5D3" w14:textId="57B6A646" w:rsidR="0028294F" w:rsidRPr="00CD50CC" w:rsidRDefault="001338E9" w:rsidP="00C85C02">
            <w:pPr>
              <w:pStyle w:val="Normalbulletlist"/>
            </w:pPr>
            <w:r>
              <w:t xml:space="preserve">Bydd dysgwyr yn gwybod am gofrestru proffesiynol fel gweithiwr adeiladu proffesiynol ar gyfer y maes crefft o’u dewis. </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5EF4888D" w:rsidR="000355F3" w:rsidRPr="00CD50CC" w:rsidRDefault="000355F3" w:rsidP="00C85C02">
            <w:pPr>
              <w:pStyle w:val="ListParagraph"/>
              <w:numPr>
                <w:ilvl w:val="1"/>
                <w:numId w:val="37"/>
              </w:numPr>
              <w:adjustRightInd w:val="0"/>
              <w:spacing w:line="240" w:lineRule="auto"/>
              <w:contextualSpacing w:val="0"/>
            </w:pPr>
            <w:r>
              <w:t>Rôl cyrff a sefydliadau crefft yn y sector adeiladu</w:t>
            </w:r>
          </w:p>
        </w:tc>
        <w:tc>
          <w:tcPr>
            <w:tcW w:w="7261" w:type="dxa"/>
            <w:tcMar>
              <w:top w:w="108" w:type="dxa"/>
              <w:bottom w:w="108" w:type="dxa"/>
            </w:tcMar>
          </w:tcPr>
          <w:p w14:paraId="0A624E6D" w14:textId="4E4143CC" w:rsidR="000355F3" w:rsidRDefault="00B8154A" w:rsidP="00C85C02">
            <w:pPr>
              <w:pStyle w:val="Normalbulletlist"/>
            </w:pPr>
            <w:r>
              <w:t>Bydd dysgwyr yn cyflawni hyfforddiant theori ar y cyrff hyfforddi a restrir yn 1.1 i gael gwell dealltwriaeth o’r rolau a’r gwasanaethau y mae’r sefydliadau hyn yn eu cynnig.</w:t>
            </w:r>
          </w:p>
          <w:p w14:paraId="05948667" w14:textId="0A8472FF" w:rsidR="000672A3" w:rsidRPr="00CD50CC" w:rsidRDefault="000672A3" w:rsidP="00C85C02">
            <w:pPr>
              <w:pStyle w:val="Normalbulletlist"/>
            </w:pPr>
            <w:r>
              <w:t>Bydd dysgwyr yn ymchwilio ac yn trafod manteision ac anfanteision ymuno â chynrychiolaeth undebau fel UNITE (Union of Construction, Allied Trades and Technicians (UCATT) gynt).</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79E9D0F8" w:rsidR="000355F3" w:rsidRPr="00CD50CC" w:rsidRDefault="000355F3" w:rsidP="00C85C02">
            <w:pPr>
              <w:pStyle w:val="ListParagraph"/>
              <w:numPr>
                <w:ilvl w:val="1"/>
                <w:numId w:val="37"/>
              </w:numPr>
              <w:adjustRightInd w:val="0"/>
              <w:spacing w:line="240" w:lineRule="auto"/>
              <w:contextualSpacing w:val="0"/>
            </w:pPr>
            <w:r>
              <w:t xml:space="preserve">Y cynlluniau cerdyn cymhwysedd yn y sector </w:t>
            </w:r>
            <w:r>
              <w:lastRenderedPageBreak/>
              <w:t>adeiladu a’r mathau o gardiau sydd ar gael</w:t>
            </w:r>
          </w:p>
        </w:tc>
        <w:tc>
          <w:tcPr>
            <w:tcW w:w="7261" w:type="dxa"/>
            <w:tcMar>
              <w:top w:w="108" w:type="dxa"/>
              <w:bottom w:w="108" w:type="dxa"/>
            </w:tcMar>
          </w:tcPr>
          <w:p w14:paraId="4706C896" w14:textId="19E4158F" w:rsidR="000355F3" w:rsidRDefault="000672A3" w:rsidP="00C85C02">
            <w:pPr>
              <w:pStyle w:val="Normalbulletlist"/>
            </w:pPr>
            <w:r>
              <w:lastRenderedPageBreak/>
              <w:t>Bydd dysgwyr yn ymchwilio ac yn cyflawni hyfforddiant yn barod ar gyfer gwneud cais am y cerdyn CSCS i wybod pa fath o gardiau sydd ar gael ac am beth dylent wneud cais.</w:t>
            </w:r>
          </w:p>
          <w:p w14:paraId="21CF31F4" w14:textId="3414A9F8" w:rsidR="005C766C" w:rsidRPr="00CD50CC" w:rsidRDefault="005702CC" w:rsidP="005702CC">
            <w:pPr>
              <w:pStyle w:val="Normalbulletlist"/>
            </w:pPr>
            <w:r>
              <w:lastRenderedPageBreak/>
              <w:t>Bydd dysgwyr yn deall wrth iddynt ddatblygu ym maes adeiladu pa bryd y mae’n fuddiol ymgysylltu â chyrff sefydliadol a grybwyllwyd yn 1.1.</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15CC37C8" w:rsidR="000355F3" w:rsidRPr="00CD50CC" w:rsidRDefault="000355F3" w:rsidP="00C85C02">
            <w:pPr>
              <w:pStyle w:val="ListParagraph"/>
              <w:numPr>
                <w:ilvl w:val="1"/>
                <w:numId w:val="37"/>
              </w:numPr>
              <w:adjustRightInd w:val="0"/>
              <w:spacing w:line="240" w:lineRule="auto"/>
              <w:contextualSpacing w:val="0"/>
            </w:pPr>
            <w:r>
              <w:t>Cofrestriad proffesiynol fel gweithiwr adeiladu proffesiynol</w:t>
            </w:r>
          </w:p>
        </w:tc>
        <w:tc>
          <w:tcPr>
            <w:tcW w:w="7261" w:type="dxa"/>
            <w:tcMar>
              <w:top w:w="108" w:type="dxa"/>
              <w:bottom w:w="108" w:type="dxa"/>
            </w:tcMar>
          </w:tcPr>
          <w:p w14:paraId="096EC7A7" w14:textId="5469DFD7" w:rsidR="00656D36" w:rsidRPr="00656D36" w:rsidRDefault="00452B02" w:rsidP="001000A0">
            <w:pPr>
              <w:pStyle w:val="Normalbulletlist"/>
            </w:pPr>
            <w:r>
              <w:t>Bydd dysgwyr yn cael eu cyflwyno i gyrff proffesiynol ac yn deall manteision ymgysylltu â’r rhain, gan gynnwys:</w:t>
            </w:r>
          </w:p>
          <w:p w14:paraId="704FEF2B" w14:textId="495C51F0" w:rsidR="00656D36" w:rsidRDefault="005C766C" w:rsidP="001000A0">
            <w:pPr>
              <w:pStyle w:val="Normalbulletsublist"/>
            </w:pPr>
            <w:r>
              <w:t xml:space="preserve">y potensial i ennill mwy </w:t>
            </w:r>
          </w:p>
          <w:p w14:paraId="5820F9D9" w14:textId="75C032B6" w:rsidR="00656D36" w:rsidRDefault="005C766C" w:rsidP="001000A0">
            <w:pPr>
              <w:pStyle w:val="Normalbulletsublist"/>
            </w:pPr>
            <w:r>
              <w:t xml:space="preserve">gwell rhagolygon gyrfa a chyflogadwyedd </w:t>
            </w:r>
          </w:p>
          <w:p w14:paraId="08F4CC26" w14:textId="696657BE" w:rsidR="00656D36" w:rsidRDefault="005C766C" w:rsidP="001000A0">
            <w:pPr>
              <w:pStyle w:val="Normalbulletsublist"/>
            </w:pPr>
            <w:r>
              <w:t xml:space="preserve">statws uwch yn arwain at fwy o hunan-barch </w:t>
            </w:r>
          </w:p>
          <w:p w14:paraId="23B6CBC5" w14:textId="77777777" w:rsidR="00656D36" w:rsidRDefault="005C766C" w:rsidP="001000A0">
            <w:pPr>
              <w:pStyle w:val="Normalbulletsublist"/>
            </w:pPr>
            <w:r>
              <w:t>cydnabyddiaeth ryngwladol o gymhwysedd ac ymrwymiad</w:t>
            </w:r>
          </w:p>
          <w:p w14:paraId="60B4EA36" w14:textId="1640F5F5" w:rsidR="00656D36" w:rsidRDefault="005C766C" w:rsidP="001000A0">
            <w:pPr>
              <w:pStyle w:val="Normalbulletsublist"/>
            </w:pPr>
            <w:r>
              <w:t>tystiolaeth o arbenigedd</w:t>
            </w:r>
          </w:p>
          <w:p w14:paraId="7A17E0D8" w14:textId="55287AFD" w:rsidR="00656D36" w:rsidRDefault="005C766C" w:rsidP="001000A0">
            <w:pPr>
              <w:pStyle w:val="Normalbulletsublist"/>
            </w:pPr>
            <w:r>
              <w:t>mwy o ddylanwad yn ei sefydliad a’i ddiwydiant ei hun</w:t>
            </w:r>
          </w:p>
          <w:p w14:paraId="2B36DE57" w14:textId="0D032497" w:rsidR="000355F3" w:rsidRPr="00B43C2A" w:rsidRDefault="005C766C" w:rsidP="001000A0">
            <w:pPr>
              <w:pStyle w:val="Normalbulletsublist"/>
            </w:pPr>
            <w:r>
              <w:t>cydnabyddiaeth fel adlofnodwr.</w:t>
            </w:r>
          </w:p>
        </w:tc>
      </w:tr>
      <w:tr w:rsidR="00760E4E" w:rsidRPr="00D979B1" w14:paraId="00E39C30" w14:textId="77777777" w:rsidTr="00106031">
        <w:tc>
          <w:tcPr>
            <w:tcW w:w="3627" w:type="dxa"/>
            <w:tcMar>
              <w:top w:w="108" w:type="dxa"/>
              <w:bottom w:w="108" w:type="dxa"/>
            </w:tcMar>
          </w:tcPr>
          <w:p w14:paraId="51CF8F7C" w14:textId="77777777" w:rsidR="00760E4E" w:rsidRPr="00CD50CC" w:rsidRDefault="00760E4E" w:rsidP="001F5E02">
            <w:pPr>
              <w:adjustRightInd w:val="0"/>
              <w:spacing w:line="240" w:lineRule="auto"/>
            </w:pPr>
          </w:p>
        </w:tc>
        <w:tc>
          <w:tcPr>
            <w:tcW w:w="3627" w:type="dxa"/>
            <w:tcMar>
              <w:top w:w="108" w:type="dxa"/>
              <w:bottom w:w="108" w:type="dxa"/>
            </w:tcMar>
          </w:tcPr>
          <w:p w14:paraId="22C06543" w14:textId="590A1DDD" w:rsidR="00760E4E" w:rsidRPr="00CD50CC" w:rsidRDefault="001F5E02" w:rsidP="00C85C02">
            <w:pPr>
              <w:pStyle w:val="ListParagraph"/>
              <w:numPr>
                <w:ilvl w:val="1"/>
                <w:numId w:val="37"/>
              </w:numPr>
              <w:adjustRightInd w:val="0"/>
              <w:spacing w:line="240" w:lineRule="auto"/>
              <w:contextualSpacing w:val="0"/>
            </w:pPr>
            <w:r>
              <w:t>Bwrdd Hyfforddi’r Diwydiant Adeiladu (CITB) a’i rôl yn y sector adeiladu</w:t>
            </w:r>
          </w:p>
        </w:tc>
        <w:tc>
          <w:tcPr>
            <w:tcW w:w="7261" w:type="dxa"/>
            <w:tcMar>
              <w:top w:w="108" w:type="dxa"/>
              <w:bottom w:w="108" w:type="dxa"/>
            </w:tcMar>
          </w:tcPr>
          <w:p w14:paraId="66E3C11E" w14:textId="77777777" w:rsidR="00760E4E" w:rsidRDefault="005C766C" w:rsidP="001F5E02">
            <w:pPr>
              <w:pStyle w:val="Normalbulletlist"/>
            </w:pPr>
            <w:r>
              <w:t>Bydd dysgwyr yn ymchwilio ac yn mapio rhagolygon gyrfa a chymwysterau sy’n berthnasol i hyfforddiant.</w:t>
            </w:r>
          </w:p>
          <w:p w14:paraId="30C3B609" w14:textId="65AB7A8C" w:rsidR="00B624DF" w:rsidRDefault="00B624DF" w:rsidP="001F5E02">
            <w:pPr>
              <w:pStyle w:val="Normalbulletlist"/>
            </w:pPr>
            <w:r>
              <w:t>Bydd dysgwyr yn gwybod am gymwysterau sy’n berthnasol i’w hyfforddiant a Datblygiad Proffesiynol Parhaus (DPP) ym Mwrdd Hyfforddi’r Diwydiant Adeiladu (CITB).</w:t>
            </w:r>
          </w:p>
          <w:p w14:paraId="49F96D51" w14:textId="318C1075" w:rsidR="00B624DF" w:rsidRPr="00CD50CC" w:rsidRDefault="00B624DF" w:rsidP="001F5E02">
            <w:pPr>
              <w:pStyle w:val="Normalbulletlist"/>
            </w:pPr>
            <w:r>
              <w:t xml:space="preserve">Bydd dysgwyr yn deall sut mae cael gafael ar gyllid i hwyluso ennill cymwysterau hyfforddi perthnasol drwy CITB. </w:t>
            </w:r>
          </w:p>
        </w:tc>
      </w:tr>
      <w:tr w:rsidR="000E7C90" w:rsidRPr="00D979B1" w14:paraId="6800D22A" w14:textId="77777777" w:rsidTr="00106031">
        <w:tc>
          <w:tcPr>
            <w:tcW w:w="3627" w:type="dxa"/>
            <w:vMerge w:val="restart"/>
            <w:tcMar>
              <w:top w:w="108" w:type="dxa"/>
              <w:bottom w:w="108" w:type="dxa"/>
            </w:tcMar>
          </w:tcPr>
          <w:p w14:paraId="3BEC5FBB" w14:textId="6DF5A7B7" w:rsidR="000E7C90" w:rsidRPr="00CD50CC" w:rsidRDefault="00134136" w:rsidP="00C85C02">
            <w:pPr>
              <w:pStyle w:val="ListParagraph"/>
              <w:numPr>
                <w:ilvl w:val="0"/>
                <w:numId w:val="37"/>
              </w:numPr>
              <w:adjustRightInd w:val="0"/>
              <w:spacing w:line="240" w:lineRule="auto"/>
              <w:contextualSpacing w:val="0"/>
            </w:pPr>
            <w:r>
              <w:t>Gwybod beth yw prif egwyddorion hunangyflogaeth yn y sector adeiladu</w:t>
            </w:r>
          </w:p>
        </w:tc>
        <w:tc>
          <w:tcPr>
            <w:tcW w:w="3627" w:type="dxa"/>
            <w:tcMar>
              <w:top w:w="108" w:type="dxa"/>
              <w:bottom w:w="108" w:type="dxa"/>
            </w:tcMar>
          </w:tcPr>
          <w:p w14:paraId="5ECFA388" w14:textId="1422A98F" w:rsidR="000E7C90" w:rsidRPr="00CD50CC" w:rsidRDefault="000E7C90" w:rsidP="00C85C02">
            <w:pPr>
              <w:pStyle w:val="ListParagraph"/>
              <w:numPr>
                <w:ilvl w:val="1"/>
                <w:numId w:val="37"/>
              </w:numPr>
              <w:adjustRightInd w:val="0"/>
              <w:spacing w:line="240" w:lineRule="auto"/>
              <w:contextualSpacing w:val="0"/>
            </w:pPr>
            <w:r>
              <w:t>Nodweddion hunangyflogaeth</w:t>
            </w:r>
          </w:p>
        </w:tc>
        <w:tc>
          <w:tcPr>
            <w:tcW w:w="7261" w:type="dxa"/>
            <w:tcMar>
              <w:top w:w="108" w:type="dxa"/>
              <w:bottom w:w="108" w:type="dxa"/>
            </w:tcMar>
          </w:tcPr>
          <w:p w14:paraId="53661F95" w14:textId="044F6466" w:rsidR="00CD3D0A" w:rsidRDefault="00B624DF" w:rsidP="00C85C02">
            <w:pPr>
              <w:pStyle w:val="Normalbulletlist"/>
            </w:pPr>
            <w:r>
              <w:t xml:space="preserve">Bydd dysgwyr yn deall manteision hunangyflogaeth. </w:t>
            </w:r>
          </w:p>
          <w:p w14:paraId="5941015E" w14:textId="4C682BD3" w:rsidR="00342DBE" w:rsidRDefault="00CD3D0A" w:rsidP="00C85C02">
            <w:pPr>
              <w:pStyle w:val="Normalbulletlist"/>
            </w:pPr>
            <w:r>
              <w:t xml:space="preserve">Bydd dysgwyr yn deall y gwahaniaeth rhwng unig fasnachwr a chwmni cyfyngedig. </w:t>
            </w:r>
          </w:p>
          <w:p w14:paraId="51B0001A" w14:textId="4C9F5ED1" w:rsidR="000E7C90" w:rsidRPr="00CD50CC" w:rsidRDefault="00342DBE" w:rsidP="00C85C02">
            <w:pPr>
              <w:pStyle w:val="Normalbulletlist"/>
            </w:pPr>
            <w:r>
              <w:t>Bydd dysgwyr yn cymryd rhan mewn hyfforddiant theori sy’n seiliedig ar hunangyflogaeth lwyddiannus, gan dynnu sylw at feysydd allweddol fel hunan-gymhelliant, cyfleoedd i ennill mwy, hyblygrwydd gweithio, fetio a dewis cleientiaid cadarnhaol.</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0575E8FD" w:rsidR="000E7C90" w:rsidRPr="00CD50CC" w:rsidRDefault="000E7C90" w:rsidP="00C85C02">
            <w:pPr>
              <w:pStyle w:val="ListParagraph"/>
              <w:numPr>
                <w:ilvl w:val="1"/>
                <w:numId w:val="37"/>
              </w:numPr>
              <w:adjustRightInd w:val="0"/>
              <w:spacing w:line="240" w:lineRule="auto"/>
              <w:contextualSpacing w:val="0"/>
            </w:pPr>
            <w:r>
              <w:t>Manteision ac anfanteision bod yn hunangyflogedig</w:t>
            </w:r>
          </w:p>
        </w:tc>
        <w:tc>
          <w:tcPr>
            <w:tcW w:w="7261" w:type="dxa"/>
            <w:tcMar>
              <w:top w:w="108" w:type="dxa"/>
              <w:bottom w:w="108" w:type="dxa"/>
            </w:tcMar>
          </w:tcPr>
          <w:p w14:paraId="755A555E" w14:textId="16AC9470" w:rsidR="00712312" w:rsidRDefault="00712312" w:rsidP="00712312">
            <w:pPr>
              <w:pStyle w:val="Normalbulletlist"/>
            </w:pPr>
            <w:r>
              <w:t>Bydd dysgwyr yn cael gwybod am anfanteision posibl hunangyflogaeth, fel y gofyn am gyfalaf, problemau llif arian, diffyg pensiwn a buddion cyflogaeth, llif gwaith parhaus, costau yswiriant, oedi taliadau, gorymrwymiad ar gontractau, perthynas â chleientiaid yn chwalu.</w:t>
            </w:r>
          </w:p>
          <w:p w14:paraId="5AC099BF" w14:textId="45AE90B1" w:rsidR="00F73AB5" w:rsidRPr="00CD50CC" w:rsidRDefault="00712312" w:rsidP="00970E88">
            <w:pPr>
              <w:pStyle w:val="Normalbulletlist"/>
            </w:pPr>
            <w:r>
              <w:t xml:space="preserve">Bydd dysgwyr yn cael gwybod am fanteision posibl hunangyflogaeth, fel bod â rheolaeth dros eich tynged eich hun, y potensial i ennill mwy, mwy o foddhad mewn gyrfa, geirdaon cadarnhaol gan gwsmeriaid, gweithio’n hyblyg. </w:t>
            </w:r>
          </w:p>
        </w:tc>
      </w:tr>
      <w:tr w:rsidR="000E7C90" w:rsidRPr="00D979B1" w14:paraId="2C9C32BB" w14:textId="77777777" w:rsidTr="00106031">
        <w:tc>
          <w:tcPr>
            <w:tcW w:w="3627" w:type="dxa"/>
            <w:vMerge/>
            <w:tcMar>
              <w:top w:w="108" w:type="dxa"/>
              <w:bottom w:w="108" w:type="dxa"/>
            </w:tcMar>
          </w:tcPr>
          <w:p w14:paraId="654FB670" w14:textId="261DEBAE"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1777DD12" w:rsidR="000E7C90" w:rsidRPr="00CD50CC" w:rsidRDefault="000E7C90" w:rsidP="00C85C02">
            <w:pPr>
              <w:pStyle w:val="ListParagraph"/>
              <w:numPr>
                <w:ilvl w:val="1"/>
                <w:numId w:val="37"/>
              </w:numPr>
              <w:adjustRightInd w:val="0"/>
              <w:spacing w:line="240" w:lineRule="auto"/>
              <w:contextualSpacing w:val="0"/>
            </w:pPr>
            <w:r>
              <w:t>Cyfrifoldebau bod yn hunangyflogedig</w:t>
            </w:r>
          </w:p>
        </w:tc>
        <w:tc>
          <w:tcPr>
            <w:tcW w:w="7261" w:type="dxa"/>
            <w:tcMar>
              <w:top w:w="108" w:type="dxa"/>
              <w:bottom w:w="108" w:type="dxa"/>
            </w:tcMar>
          </w:tcPr>
          <w:p w14:paraId="3FA855BB" w14:textId="77777777" w:rsidR="00712312" w:rsidRDefault="00712312" w:rsidP="00712312">
            <w:pPr>
              <w:pStyle w:val="Normalbulletlist"/>
            </w:pPr>
            <w:r>
              <w:t>Bydd dysgwyr yn ymchwilio i gofrestru gyda Chyllid a Thollau Ei Mawrhydi (CThEM) ar gyfer hunangyflogaeth.</w:t>
            </w:r>
          </w:p>
          <w:p w14:paraId="6BC2D617" w14:textId="37EDAF51" w:rsidR="00712312" w:rsidRPr="00CD50CC" w:rsidRDefault="00712312" w:rsidP="00712312">
            <w:pPr>
              <w:pStyle w:val="Normalbulletlist"/>
            </w:pPr>
            <w:r>
              <w:t>Bydd dysgwyr yn deall sut mae cadw cofnodion (cadw cyfrifon) at ddibenion treth.</w:t>
            </w:r>
          </w:p>
        </w:tc>
      </w:tr>
      <w:tr w:rsidR="000E7C90" w:rsidRPr="00D979B1" w14:paraId="1F08EBE6" w14:textId="77777777" w:rsidTr="00106031">
        <w:tc>
          <w:tcPr>
            <w:tcW w:w="3627" w:type="dxa"/>
            <w:vMerge/>
            <w:tcMar>
              <w:top w:w="108" w:type="dxa"/>
              <w:bottom w:w="108" w:type="dxa"/>
            </w:tcMar>
          </w:tcPr>
          <w:p w14:paraId="74111422" w14:textId="77777777"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04D8B8D" w14:textId="407B5D84" w:rsidR="000E7C90" w:rsidRPr="00CD50CC" w:rsidRDefault="000E7C90" w:rsidP="00C85C02">
            <w:pPr>
              <w:pStyle w:val="ListParagraph"/>
              <w:numPr>
                <w:ilvl w:val="1"/>
                <w:numId w:val="37"/>
              </w:numPr>
              <w:adjustRightInd w:val="0"/>
              <w:spacing w:line="240" w:lineRule="auto"/>
              <w:contextualSpacing w:val="0"/>
            </w:pPr>
            <w:r>
              <w:t>Patrymau mewn cyflogaeth a chynnydd a chwymp yn y galw</w:t>
            </w:r>
          </w:p>
          <w:p w14:paraId="4E3E60E6" w14:textId="06AD3857" w:rsidR="000E7C90" w:rsidRPr="00CD50CC" w:rsidRDefault="000E7C90" w:rsidP="00C85C02">
            <w:pPr>
              <w:adjustRightInd w:val="0"/>
              <w:spacing w:line="240" w:lineRule="auto"/>
              <w:ind w:left="567"/>
            </w:pPr>
          </w:p>
        </w:tc>
        <w:tc>
          <w:tcPr>
            <w:tcW w:w="7261" w:type="dxa"/>
            <w:tcMar>
              <w:top w:w="108" w:type="dxa"/>
              <w:bottom w:w="108" w:type="dxa"/>
            </w:tcMar>
          </w:tcPr>
          <w:p w14:paraId="4DE09F85" w14:textId="0A906C64" w:rsidR="000E7C90" w:rsidRDefault="000E33B4" w:rsidP="00C85C02">
            <w:pPr>
              <w:pStyle w:val="Normalbulletlist"/>
            </w:pPr>
            <w:r>
              <w:t>Bydd dysgwyr yn ymchwilio i dueddiadau ym maes adeiladu o ran cynnydd yn y galw a chwymp yn y galw (dirwasgiadau).</w:t>
            </w:r>
          </w:p>
          <w:p w14:paraId="07F9308C" w14:textId="35FFE383" w:rsidR="00103F25" w:rsidRDefault="00103F25" w:rsidP="00C85C02">
            <w:pPr>
              <w:pStyle w:val="Normalbulletlist"/>
            </w:pPr>
            <w:r>
              <w:t>Bydd dysgwyr yn deall goblygiadau dirwasgiad fel colli gwaith, colli cyflogaeth, straen economaidd, diffyg hyfforddiant a chyfleoedd DPP.</w:t>
            </w:r>
          </w:p>
          <w:p w14:paraId="4FF13C01" w14:textId="34C7D74E" w:rsidR="00103F25" w:rsidRDefault="00103F25" w:rsidP="00C85C02">
            <w:pPr>
              <w:pStyle w:val="Normalbulletlist"/>
            </w:pPr>
            <w:r>
              <w:t xml:space="preserve">Bydd dysgwyr yn deall goblygiadau cynnydd yn y galw fel mwy o enillion, hyfforddiant a chyfleoedd DPP, diffyg gweithlu oherwydd faint o waith sydd ar gael. </w:t>
            </w:r>
          </w:p>
          <w:p w14:paraId="513A5CC3" w14:textId="6785D05B" w:rsidR="00103F25" w:rsidRDefault="00103F25" w:rsidP="00C85C02">
            <w:pPr>
              <w:pStyle w:val="Normalbulletlist"/>
            </w:pPr>
            <w:r>
              <w:t xml:space="preserve">Bydd dysgwyr yn ymchwilio i batrymau yn y diwydiant ac yn tynnu sylw at bwyntiau sbarduno cynnydd a chwymp yn y galw. </w:t>
            </w:r>
          </w:p>
          <w:p w14:paraId="4A183DD5" w14:textId="55888D57" w:rsidR="009A4E5B" w:rsidRPr="00CD50CC" w:rsidRDefault="009A4E5B" w:rsidP="00C85C02">
            <w:pPr>
              <w:pStyle w:val="Normalbulletlist"/>
            </w:pPr>
            <w:r>
              <w:t xml:space="preserve">Bydd dysgwyr yn deall am rymoedd y farchnad ar adegau o gynnydd a chwymp yn y galw, a’r effaith ar y potensial i ennill. </w:t>
            </w:r>
          </w:p>
        </w:tc>
      </w:tr>
      <w:tr w:rsidR="000E7C90" w:rsidRPr="00D979B1" w14:paraId="43416151" w14:textId="77777777" w:rsidTr="00106031">
        <w:tc>
          <w:tcPr>
            <w:tcW w:w="3627" w:type="dxa"/>
            <w:vMerge/>
            <w:tcMar>
              <w:top w:w="108" w:type="dxa"/>
              <w:bottom w:w="108" w:type="dxa"/>
            </w:tcMar>
          </w:tcPr>
          <w:p w14:paraId="54ABFC6C" w14:textId="64E72B87"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FA92140" w14:textId="6C68C6FD" w:rsidR="000E7C90" w:rsidRPr="00CD50CC" w:rsidRDefault="000E7C90" w:rsidP="00C85C02">
            <w:pPr>
              <w:pStyle w:val="ListParagraph"/>
              <w:numPr>
                <w:ilvl w:val="1"/>
                <w:numId w:val="37"/>
              </w:numPr>
              <w:adjustRightInd w:val="0"/>
              <w:spacing w:line="240" w:lineRule="auto"/>
              <w:contextualSpacing w:val="0"/>
            </w:pPr>
            <w:r>
              <w:t>Dyletswydd gofal i sicrhau bod cynnyrch a gwaith yn ddiogel i ddefnyddwyr</w:t>
            </w:r>
          </w:p>
        </w:tc>
        <w:tc>
          <w:tcPr>
            <w:tcW w:w="7261" w:type="dxa"/>
            <w:tcMar>
              <w:top w:w="108" w:type="dxa"/>
              <w:bottom w:w="108" w:type="dxa"/>
            </w:tcMar>
          </w:tcPr>
          <w:p w14:paraId="47633039" w14:textId="7767451C" w:rsidR="000E7C90" w:rsidRDefault="00B5406F" w:rsidP="00C85C02">
            <w:pPr>
              <w:pStyle w:val="Normalbulletlist"/>
            </w:pPr>
            <w:r>
              <w:t>Bydd dysgwyr yn deall systemau gweithio diogel ym maes adeiladu ac yn cael trosolwg cyffredinol o weithio’n ddiogel, gyda gwybodaeth a geir o bolisïau ac arferion da’r Awdurdod Gweithredol Iechyd a Diogelwch.</w:t>
            </w:r>
          </w:p>
          <w:p w14:paraId="1AD1F3BB" w14:textId="0577F747" w:rsidR="005F638A" w:rsidRDefault="005F638A" w:rsidP="00C85C02">
            <w:pPr>
              <w:pStyle w:val="Normalbulletlist"/>
            </w:pPr>
            <w:r>
              <w:t>Bydd dysgwyr yn gwybod pa gamau i’w cymryd i adrodd mewn sefydliad i sicrhau bod yr holl waith yn cydymffurfio â’r ddeddfwriaeth gyfredol.</w:t>
            </w:r>
          </w:p>
          <w:p w14:paraId="7A8108F4" w14:textId="2B2EF1FE" w:rsidR="00F76E9D" w:rsidRPr="00CD50CC" w:rsidRDefault="00F76E9D" w:rsidP="00C85C02">
            <w:pPr>
              <w:pStyle w:val="Normalbulletlist"/>
            </w:pPr>
            <w:r>
              <w:t>Bydd dysgwyr yn deall gofynion Rheoliadau Adeiladu (Dylunio a Rheoli) (CDM) yn y maes hwn.</w:t>
            </w:r>
          </w:p>
        </w:tc>
      </w:tr>
      <w:tr w:rsidR="008661FF" w:rsidRPr="00D979B1" w14:paraId="2A1E01F0" w14:textId="77777777" w:rsidTr="00106031">
        <w:tc>
          <w:tcPr>
            <w:tcW w:w="3627" w:type="dxa"/>
            <w:vMerge w:val="restart"/>
            <w:tcMar>
              <w:top w:w="108" w:type="dxa"/>
              <w:bottom w:w="108" w:type="dxa"/>
            </w:tcMar>
          </w:tcPr>
          <w:p w14:paraId="48CBDD18" w14:textId="017AF8EE" w:rsidR="008661FF" w:rsidRPr="00CD50CC" w:rsidRDefault="008661FF" w:rsidP="00C85C02">
            <w:pPr>
              <w:pStyle w:val="ListParagraph"/>
              <w:numPr>
                <w:ilvl w:val="0"/>
                <w:numId w:val="37"/>
              </w:numPr>
              <w:adjustRightInd w:val="0"/>
              <w:spacing w:line="240" w:lineRule="auto"/>
              <w:contextualSpacing w:val="0"/>
            </w:pPr>
            <w:r>
              <w:t>Gwybod am bwysigrwydd sgiliau rhyngbersonol</w:t>
            </w:r>
          </w:p>
        </w:tc>
        <w:tc>
          <w:tcPr>
            <w:tcW w:w="3627" w:type="dxa"/>
            <w:tcMar>
              <w:top w:w="108" w:type="dxa"/>
              <w:bottom w:w="108" w:type="dxa"/>
            </w:tcMar>
          </w:tcPr>
          <w:p w14:paraId="4FEDC3CA" w14:textId="00B82657" w:rsidR="008661FF" w:rsidRPr="00CD50CC" w:rsidRDefault="008661FF" w:rsidP="00C85C02">
            <w:pPr>
              <w:pStyle w:val="ListParagraph"/>
              <w:numPr>
                <w:ilvl w:val="1"/>
                <w:numId w:val="37"/>
              </w:numPr>
              <w:adjustRightInd w:val="0"/>
              <w:spacing w:line="240" w:lineRule="auto"/>
              <w:contextualSpacing w:val="0"/>
            </w:pPr>
            <w:r>
              <w:t>Pwysigrwydd cyfathrebu’n effeithiol ac yn briodol ag eraill</w:t>
            </w:r>
          </w:p>
        </w:tc>
        <w:tc>
          <w:tcPr>
            <w:tcW w:w="7261" w:type="dxa"/>
            <w:tcMar>
              <w:top w:w="108" w:type="dxa"/>
              <w:bottom w:w="108" w:type="dxa"/>
            </w:tcMar>
          </w:tcPr>
          <w:p w14:paraId="04C6AA5C" w14:textId="119A7B4A" w:rsidR="008661FF" w:rsidRDefault="005F638A" w:rsidP="005F638A">
            <w:pPr>
              <w:pStyle w:val="Normalbulletlist"/>
            </w:pPr>
            <w:r>
              <w:t>Bydd dysgwyr yn gwybod drwy hyfforddiant theori am yr holl fathau perthnasol o gyfathrebu yn y diwydiant.</w:t>
            </w:r>
          </w:p>
          <w:p w14:paraId="6F7D0461" w14:textId="45749037" w:rsidR="005F638A" w:rsidRPr="00CD50CC" w:rsidRDefault="005F638A" w:rsidP="00452B02">
            <w:pPr>
              <w:pStyle w:val="Normalbulletlist"/>
            </w:pPr>
            <w:r>
              <w:t xml:space="preserve">Bydd dysgwyr yn deall y gwahaniaeth a’r effaith y gall cyfathrebu cadarnhaol a negyddol eu cael yn y gweithle, gweler </w:t>
            </w:r>
            <w:r>
              <w:rPr>
                <w:i/>
              </w:rPr>
              <w:t xml:space="preserve">City &amp; Guilds Textbook: Plastering for Levels 1 and 2 (6708) and Level 2 Technical Certificate (7908), </w:t>
            </w:r>
            <w:r>
              <w:t>pp47, 48.</w:t>
            </w:r>
          </w:p>
        </w:tc>
      </w:tr>
      <w:tr w:rsidR="008661FF" w:rsidRPr="00D979B1" w14:paraId="45E6F57F" w14:textId="77777777" w:rsidTr="00106031">
        <w:tc>
          <w:tcPr>
            <w:tcW w:w="3627" w:type="dxa"/>
            <w:vMerge/>
            <w:tcMar>
              <w:top w:w="108" w:type="dxa"/>
              <w:bottom w:w="108" w:type="dxa"/>
            </w:tcMar>
          </w:tcPr>
          <w:p w14:paraId="52B146CB" w14:textId="77777777" w:rsidR="008661FF" w:rsidRPr="007F54BF" w:rsidRDefault="008661FF" w:rsidP="00FD176D">
            <w:pPr>
              <w:adjustRightInd w:val="0"/>
              <w:spacing w:line="240" w:lineRule="auto"/>
            </w:pPr>
          </w:p>
        </w:tc>
        <w:tc>
          <w:tcPr>
            <w:tcW w:w="3627" w:type="dxa"/>
            <w:tcMar>
              <w:top w:w="108" w:type="dxa"/>
              <w:bottom w:w="108" w:type="dxa"/>
            </w:tcMar>
          </w:tcPr>
          <w:p w14:paraId="75F5C005" w14:textId="18811E23" w:rsidR="008661FF" w:rsidRPr="00BF5906" w:rsidRDefault="008661FF" w:rsidP="00C85C02">
            <w:pPr>
              <w:pStyle w:val="ListParagraph"/>
              <w:numPr>
                <w:ilvl w:val="1"/>
                <w:numId w:val="37"/>
              </w:numPr>
              <w:adjustRightInd w:val="0"/>
              <w:spacing w:line="240" w:lineRule="auto"/>
              <w:contextualSpacing w:val="0"/>
            </w:pPr>
            <w:r>
              <w:t>Pwysigrwydd deallusrwydd emosiynol wrth gyfathrebu’n effeithiol</w:t>
            </w:r>
          </w:p>
        </w:tc>
        <w:tc>
          <w:tcPr>
            <w:tcW w:w="7261" w:type="dxa"/>
            <w:tcMar>
              <w:top w:w="108" w:type="dxa"/>
              <w:bottom w:w="108" w:type="dxa"/>
            </w:tcMar>
          </w:tcPr>
          <w:p w14:paraId="6B40BD88" w14:textId="719BA672" w:rsidR="008661FF" w:rsidRDefault="009F1A15" w:rsidP="006941E6">
            <w:pPr>
              <w:pStyle w:val="Normalbulletlist"/>
            </w:pPr>
            <w:r>
              <w:t xml:space="preserve">Bydd dysgwyr yn deall sut mae datblygu deallusrwydd emosiynol wrth gyfathrebu yn y gweithle, fel datblygu’r sgiliau canlynol: trefnu, cyfathrebu’n glir ac yn effeithiol, derbyn adborth a beirniadaeth adeiladol. </w:t>
            </w:r>
          </w:p>
          <w:p w14:paraId="6FD47DB1" w14:textId="53787E23" w:rsidR="00022C5D" w:rsidRPr="00CD50CC" w:rsidRDefault="00022C5D" w:rsidP="006941E6">
            <w:pPr>
              <w:pStyle w:val="Normalbulletlist"/>
            </w:pPr>
            <w:r>
              <w:t>Bydd dysgwyr yn gwybod am gydraddoldeb ac amrywiaeth yn y gweithle ac yn deall sut mae hyrwyddo hyn i sicrhau bod pawb yn cael cyfle cyfartal ac nad oes neb yn cael ei drin yn wahanol nac yn cael ei wahaniaethu yn ei erbyn</w:t>
            </w:r>
            <w:r>
              <w:rPr>
                <w:rFonts w:ascii="Roboto" w:hAnsi="Roboto"/>
                <w:color w:val="444444"/>
                <w:shd w:val="clear" w:color="auto" w:fill="FFFFFF"/>
              </w:rPr>
              <w:t>.</w:t>
            </w:r>
          </w:p>
        </w:tc>
      </w:tr>
      <w:tr w:rsidR="008661FF" w:rsidRPr="00D979B1" w14:paraId="3EA18816" w14:textId="77777777" w:rsidTr="00106031">
        <w:tc>
          <w:tcPr>
            <w:tcW w:w="3627" w:type="dxa"/>
            <w:vMerge w:val="restart"/>
            <w:tcMar>
              <w:top w:w="108" w:type="dxa"/>
              <w:bottom w:w="108" w:type="dxa"/>
            </w:tcMar>
          </w:tcPr>
          <w:p w14:paraId="425E76D7" w14:textId="77777777" w:rsidR="008661FF" w:rsidRPr="007F54BF" w:rsidRDefault="008661FF" w:rsidP="00FD176D">
            <w:pPr>
              <w:adjustRightInd w:val="0"/>
              <w:spacing w:line="240" w:lineRule="auto"/>
            </w:pPr>
          </w:p>
        </w:tc>
        <w:tc>
          <w:tcPr>
            <w:tcW w:w="3627" w:type="dxa"/>
            <w:tcMar>
              <w:top w:w="108" w:type="dxa"/>
              <w:bottom w:w="108" w:type="dxa"/>
            </w:tcMar>
          </w:tcPr>
          <w:p w14:paraId="3D01F3EB" w14:textId="64E48E7B" w:rsidR="008661FF" w:rsidRPr="00FD176D" w:rsidRDefault="008661FF" w:rsidP="00C85C02">
            <w:pPr>
              <w:pStyle w:val="ListParagraph"/>
              <w:numPr>
                <w:ilvl w:val="1"/>
                <w:numId w:val="37"/>
              </w:numPr>
              <w:adjustRightInd w:val="0"/>
              <w:spacing w:line="240" w:lineRule="auto"/>
              <w:contextualSpacing w:val="0"/>
            </w:pPr>
            <w:r>
              <w:t>Sut mae cynllunio a rheoli eich amser eich hun</w:t>
            </w:r>
          </w:p>
        </w:tc>
        <w:tc>
          <w:tcPr>
            <w:tcW w:w="7261" w:type="dxa"/>
            <w:tcMar>
              <w:top w:w="108" w:type="dxa"/>
              <w:bottom w:w="108" w:type="dxa"/>
            </w:tcMar>
          </w:tcPr>
          <w:p w14:paraId="19A6875E" w14:textId="5789C47C" w:rsidR="008661FF" w:rsidRDefault="00E9058E" w:rsidP="006941E6">
            <w:pPr>
              <w:pStyle w:val="Normalbulletlist"/>
            </w:pPr>
            <w:r>
              <w:t>Bydd dysgwyr yn deall pwysigrwydd cynllunio a rheoli amser.</w:t>
            </w:r>
          </w:p>
          <w:p w14:paraId="102AC1BB" w14:textId="623B7E6C" w:rsidR="00E9058E" w:rsidRDefault="00E9058E" w:rsidP="006941E6">
            <w:pPr>
              <w:pStyle w:val="Normalbulletlist"/>
            </w:pPr>
            <w:r>
              <w:t>Bydd dysgwyr yn cymryd rhan mewn gweithgareddau ymarferol ar wahanol fathau o galendr a rhannu dyddiadau, fel calendr ffôn a chalendr e-bost.</w:t>
            </w:r>
          </w:p>
          <w:p w14:paraId="0EF741BC" w14:textId="52F2DA78" w:rsidR="00ED5F82" w:rsidRPr="00CD50CC" w:rsidRDefault="00ED5F82" w:rsidP="006941E6">
            <w:pPr>
              <w:pStyle w:val="Normalbulletlist"/>
            </w:pPr>
            <w:r>
              <w:lastRenderedPageBreak/>
              <w:t>Bydd dysgwyr yn ymwybodol o sefydlu grwpiau electronig i reoli a rhannu amser fel WhatsApp a Microsoft Teams.</w:t>
            </w:r>
          </w:p>
        </w:tc>
      </w:tr>
      <w:tr w:rsidR="008661FF" w:rsidRPr="00D979B1" w14:paraId="6C0FC97A" w14:textId="77777777" w:rsidTr="00106031">
        <w:tc>
          <w:tcPr>
            <w:tcW w:w="3627" w:type="dxa"/>
            <w:vMerge/>
            <w:tcMar>
              <w:top w:w="108" w:type="dxa"/>
              <w:bottom w:w="108" w:type="dxa"/>
            </w:tcMar>
          </w:tcPr>
          <w:p w14:paraId="7BD702B3" w14:textId="77777777" w:rsidR="008661FF" w:rsidRPr="007F54BF" w:rsidRDefault="008661FF" w:rsidP="00FD176D">
            <w:pPr>
              <w:adjustRightInd w:val="0"/>
              <w:spacing w:line="240" w:lineRule="auto"/>
            </w:pPr>
          </w:p>
        </w:tc>
        <w:tc>
          <w:tcPr>
            <w:tcW w:w="3627" w:type="dxa"/>
            <w:tcMar>
              <w:top w:w="108" w:type="dxa"/>
              <w:bottom w:w="108" w:type="dxa"/>
            </w:tcMar>
          </w:tcPr>
          <w:p w14:paraId="028F79AD" w14:textId="6DD35306" w:rsidR="008661FF" w:rsidRPr="00876735" w:rsidRDefault="008661FF" w:rsidP="00C85C02">
            <w:pPr>
              <w:pStyle w:val="ListParagraph"/>
              <w:numPr>
                <w:ilvl w:val="1"/>
                <w:numId w:val="37"/>
              </w:numPr>
              <w:adjustRightInd w:val="0"/>
              <w:spacing w:line="240" w:lineRule="auto"/>
              <w:contextualSpacing w:val="0"/>
            </w:pPr>
            <w:r>
              <w:t>Sut mae gosod targedau a meini prawf llwyddiant</w:t>
            </w:r>
          </w:p>
        </w:tc>
        <w:tc>
          <w:tcPr>
            <w:tcW w:w="7261" w:type="dxa"/>
            <w:tcMar>
              <w:top w:w="108" w:type="dxa"/>
              <w:bottom w:w="108" w:type="dxa"/>
            </w:tcMar>
          </w:tcPr>
          <w:p w14:paraId="4AA4A362" w14:textId="236D9663" w:rsidR="008661FF" w:rsidRDefault="00ED5F82" w:rsidP="006941E6">
            <w:pPr>
              <w:pStyle w:val="Normalbulletlist"/>
            </w:pPr>
            <w:r>
              <w:t>Bydd dysgwyr yn cymryd rhan yn y gweithgaredd ymarferol o osod rhai targedau SMART (</w:t>
            </w:r>
            <w:r>
              <w:rPr>
                <w:i/>
                <w:iCs/>
              </w:rPr>
              <w:t>Specific, Measurable, Achievable, Realistic</w:t>
            </w:r>
            <w:r>
              <w:t xml:space="preserve"> a </w:t>
            </w:r>
            <w:r>
              <w:rPr>
                <w:i/>
                <w:iCs/>
              </w:rPr>
              <w:t>Time Bound</w:t>
            </w:r>
            <w:r>
              <w:t>).</w:t>
            </w:r>
          </w:p>
          <w:p w14:paraId="7A2CF947" w14:textId="50C18126" w:rsidR="00ED5F82" w:rsidRDefault="00ED5F82" w:rsidP="006941E6">
            <w:pPr>
              <w:pStyle w:val="Normalbulletlist"/>
            </w:pPr>
            <w:r>
              <w:t xml:space="preserve">Bydd dysgwyr yn ymchwilio ac yn dod i ddeall meini prawf llwyddiant a sut mae prosiectau’n cael eu barnu pan fydd y wybodaeth hon yn cael ei dadansoddi. </w:t>
            </w:r>
          </w:p>
          <w:p w14:paraId="553BA402" w14:textId="04A5F2A6" w:rsidR="00312CC4" w:rsidRPr="00CD50CC" w:rsidRDefault="00312CC4" w:rsidP="006941E6">
            <w:pPr>
              <w:pStyle w:val="Normalbulletlist"/>
            </w:pPr>
            <w:r>
              <w:t xml:space="preserve">Bydd dysgwyr yn ymchwilio i sut mae datblygu sgiliau rhyngbersonol a phersonol er mwyn cael gwell sgiliau cyfathrebu a datrys problemau. </w:t>
            </w:r>
          </w:p>
        </w:tc>
      </w:tr>
      <w:tr w:rsidR="008661FF" w:rsidRPr="00D979B1" w14:paraId="2E2B3E8D" w14:textId="77777777" w:rsidTr="00106031">
        <w:tc>
          <w:tcPr>
            <w:tcW w:w="3627" w:type="dxa"/>
            <w:vMerge/>
            <w:tcMar>
              <w:top w:w="108" w:type="dxa"/>
              <w:bottom w:w="108" w:type="dxa"/>
            </w:tcMar>
          </w:tcPr>
          <w:p w14:paraId="1F45BD18" w14:textId="77777777" w:rsidR="008661FF" w:rsidRPr="007F54BF" w:rsidRDefault="008661FF" w:rsidP="00FD176D">
            <w:pPr>
              <w:adjustRightInd w:val="0"/>
              <w:spacing w:line="240" w:lineRule="auto"/>
            </w:pPr>
          </w:p>
        </w:tc>
        <w:tc>
          <w:tcPr>
            <w:tcW w:w="3627" w:type="dxa"/>
            <w:tcMar>
              <w:top w:w="108" w:type="dxa"/>
              <w:bottom w:w="108" w:type="dxa"/>
            </w:tcMar>
          </w:tcPr>
          <w:p w14:paraId="51740B86" w14:textId="1C46406A" w:rsidR="008661FF" w:rsidRPr="00DE2D47" w:rsidRDefault="008661FF" w:rsidP="00C85C02">
            <w:pPr>
              <w:pStyle w:val="ListParagraph"/>
              <w:numPr>
                <w:ilvl w:val="1"/>
                <w:numId w:val="37"/>
              </w:numPr>
              <w:adjustRightInd w:val="0"/>
              <w:spacing w:line="240" w:lineRule="auto"/>
              <w:contextualSpacing w:val="0"/>
            </w:pPr>
            <w:r>
              <w:t>Pwysigrwydd adfyfyrio</w:t>
            </w:r>
          </w:p>
        </w:tc>
        <w:tc>
          <w:tcPr>
            <w:tcW w:w="7261" w:type="dxa"/>
            <w:tcMar>
              <w:top w:w="108" w:type="dxa"/>
              <w:bottom w:w="108" w:type="dxa"/>
            </w:tcMar>
          </w:tcPr>
          <w:p w14:paraId="24D86CF0" w14:textId="0384331D" w:rsidR="008661FF" w:rsidRDefault="00312CC4" w:rsidP="006941E6">
            <w:pPr>
              <w:pStyle w:val="Normalbulletlist"/>
            </w:pPr>
            <w:r>
              <w:t xml:space="preserve">Bydd dysgwyr yn cymryd rhan mewn gweithgareddau bach i ddatblygu sgiliau ymarfer myfyriol da. </w:t>
            </w:r>
          </w:p>
          <w:p w14:paraId="6BEAEA4B" w14:textId="7D649A84" w:rsidR="00D901A1" w:rsidRPr="00CD50CC" w:rsidRDefault="00D901A1" w:rsidP="006941E6">
            <w:pPr>
              <w:pStyle w:val="Normalbulletlist"/>
            </w:pPr>
            <w:r>
              <w:t>Bydd dysgwyr yn ymwybodol o ymarferwyr myfyriol a dulliau dysgu, fel Kolb, a Honey a Mumford.</w:t>
            </w:r>
          </w:p>
        </w:tc>
      </w:tr>
      <w:tr w:rsidR="008661FF" w:rsidRPr="00D979B1" w14:paraId="779AA9D8" w14:textId="77777777" w:rsidTr="00106031">
        <w:tc>
          <w:tcPr>
            <w:tcW w:w="3627" w:type="dxa"/>
            <w:vMerge w:val="restart"/>
            <w:tcMar>
              <w:top w:w="108" w:type="dxa"/>
              <w:bottom w:w="108" w:type="dxa"/>
            </w:tcMar>
          </w:tcPr>
          <w:p w14:paraId="11663E7F" w14:textId="171BB6B2" w:rsidR="008661FF" w:rsidRPr="007F54BF" w:rsidRDefault="008661FF" w:rsidP="00180F9E">
            <w:pPr>
              <w:pStyle w:val="ListParagraph"/>
              <w:numPr>
                <w:ilvl w:val="0"/>
                <w:numId w:val="37"/>
              </w:numPr>
              <w:adjustRightInd w:val="0"/>
              <w:spacing w:line="240" w:lineRule="auto"/>
            </w:pPr>
            <w:r>
              <w:t>Gwybod sut i ddatrys problemau o fewn cwmpas ei gyfrifoldeb ei hun</w:t>
            </w:r>
          </w:p>
        </w:tc>
        <w:tc>
          <w:tcPr>
            <w:tcW w:w="3627" w:type="dxa"/>
            <w:tcMar>
              <w:top w:w="108" w:type="dxa"/>
              <w:bottom w:w="108" w:type="dxa"/>
            </w:tcMar>
          </w:tcPr>
          <w:p w14:paraId="1A784330" w14:textId="20A62409" w:rsidR="008661FF" w:rsidRPr="009031A4" w:rsidRDefault="008661FF" w:rsidP="00C85C02">
            <w:pPr>
              <w:pStyle w:val="ListParagraph"/>
              <w:numPr>
                <w:ilvl w:val="1"/>
                <w:numId w:val="37"/>
              </w:numPr>
              <w:adjustRightInd w:val="0"/>
              <w:spacing w:line="240" w:lineRule="auto"/>
              <w:contextualSpacing w:val="0"/>
            </w:pPr>
            <w:r>
              <w:t>Adnabod problemau a all godi mewn prosiectau adeiladu</w:t>
            </w:r>
          </w:p>
        </w:tc>
        <w:tc>
          <w:tcPr>
            <w:tcW w:w="7261" w:type="dxa"/>
            <w:tcMar>
              <w:top w:w="108" w:type="dxa"/>
              <w:bottom w:w="108" w:type="dxa"/>
            </w:tcMar>
          </w:tcPr>
          <w:p w14:paraId="1DCB750B" w14:textId="7B01ECDC" w:rsidR="008661FF" w:rsidRDefault="00D901A1" w:rsidP="006941E6">
            <w:pPr>
              <w:pStyle w:val="Normalbulletlist"/>
            </w:pPr>
            <w:r>
              <w:t xml:space="preserve">Bydd dysgwyr yn gallu nodi a datrys problemau amrywiol sy’n gallu codi: technegol, cyfathrebu, cyfarpar, iechyd a diogelwch. </w:t>
            </w:r>
          </w:p>
          <w:p w14:paraId="12B652FF" w14:textId="44DB6909" w:rsidR="0080526E" w:rsidRPr="00CD50CC" w:rsidRDefault="0080526E" w:rsidP="006941E6">
            <w:pPr>
              <w:pStyle w:val="Normalbulletlist"/>
            </w:pPr>
            <w:r>
              <w:t>Bydd dysgwyr yn cymryd rhan mewn gweithgareddau hyfforddi ar adrodd am broblemau a’u datrys.</w:t>
            </w:r>
          </w:p>
        </w:tc>
      </w:tr>
      <w:tr w:rsidR="008661FF" w:rsidRPr="00D979B1" w14:paraId="5B85E3FD" w14:textId="77777777" w:rsidTr="00106031">
        <w:tc>
          <w:tcPr>
            <w:tcW w:w="3627" w:type="dxa"/>
            <w:vMerge/>
            <w:tcMar>
              <w:top w:w="108" w:type="dxa"/>
              <w:bottom w:w="108" w:type="dxa"/>
            </w:tcMar>
          </w:tcPr>
          <w:p w14:paraId="1A0BBB64" w14:textId="77777777" w:rsidR="008661FF" w:rsidRPr="00180F9E" w:rsidRDefault="008661FF" w:rsidP="0088056C">
            <w:pPr>
              <w:adjustRightInd w:val="0"/>
              <w:spacing w:line="240" w:lineRule="auto"/>
            </w:pPr>
          </w:p>
        </w:tc>
        <w:tc>
          <w:tcPr>
            <w:tcW w:w="3627" w:type="dxa"/>
            <w:tcMar>
              <w:top w:w="108" w:type="dxa"/>
              <w:bottom w:w="108" w:type="dxa"/>
            </w:tcMar>
          </w:tcPr>
          <w:p w14:paraId="4F20B7E7" w14:textId="1260649F" w:rsidR="008661FF" w:rsidRPr="0088056C" w:rsidRDefault="008661FF" w:rsidP="00C85C02">
            <w:pPr>
              <w:pStyle w:val="ListParagraph"/>
              <w:numPr>
                <w:ilvl w:val="1"/>
                <w:numId w:val="37"/>
              </w:numPr>
              <w:adjustRightInd w:val="0"/>
              <w:spacing w:line="240" w:lineRule="auto"/>
              <w:contextualSpacing w:val="0"/>
            </w:pPr>
            <w:r>
              <w:t>Sut mae dod o hyd i atebion i broblemau</w:t>
            </w:r>
          </w:p>
        </w:tc>
        <w:tc>
          <w:tcPr>
            <w:tcW w:w="7261" w:type="dxa"/>
            <w:tcMar>
              <w:top w:w="108" w:type="dxa"/>
              <w:bottom w:w="108" w:type="dxa"/>
            </w:tcMar>
          </w:tcPr>
          <w:p w14:paraId="353C0B2F" w14:textId="6531F240" w:rsidR="008661FF" w:rsidRPr="00CD50CC" w:rsidRDefault="0080526E" w:rsidP="006941E6">
            <w:pPr>
              <w:pStyle w:val="Normalbulletlist"/>
            </w:pPr>
            <w:r>
              <w:t xml:space="preserve">Bydd dysgwyr yn cymryd rhan mewn gweithgareddau hyfforddi sy’n ymwneud â strategaethau datrys problemau fel taflu syniadau, meddwl ochrol, dadansoddi o wraidd y broblem. </w:t>
            </w:r>
          </w:p>
        </w:tc>
      </w:tr>
      <w:tr w:rsidR="008661FF" w:rsidRPr="00D979B1" w14:paraId="3E76FCDB" w14:textId="77777777" w:rsidTr="00106031">
        <w:tc>
          <w:tcPr>
            <w:tcW w:w="3627" w:type="dxa"/>
            <w:vMerge/>
            <w:tcMar>
              <w:top w:w="108" w:type="dxa"/>
              <w:bottom w:w="108" w:type="dxa"/>
            </w:tcMar>
          </w:tcPr>
          <w:p w14:paraId="6A445AFF" w14:textId="77777777" w:rsidR="008661FF" w:rsidRPr="00180F9E" w:rsidRDefault="008661FF" w:rsidP="0088056C">
            <w:pPr>
              <w:adjustRightInd w:val="0"/>
              <w:spacing w:line="240" w:lineRule="auto"/>
            </w:pPr>
          </w:p>
        </w:tc>
        <w:tc>
          <w:tcPr>
            <w:tcW w:w="3627" w:type="dxa"/>
            <w:tcMar>
              <w:top w:w="108" w:type="dxa"/>
              <w:bottom w:w="108" w:type="dxa"/>
            </w:tcMar>
          </w:tcPr>
          <w:p w14:paraId="5B63CA91" w14:textId="30EFB300" w:rsidR="008661FF" w:rsidRPr="00B25B99" w:rsidRDefault="008661FF" w:rsidP="00C85C02">
            <w:pPr>
              <w:pStyle w:val="ListParagraph"/>
              <w:numPr>
                <w:ilvl w:val="1"/>
                <w:numId w:val="37"/>
              </w:numPr>
              <w:adjustRightInd w:val="0"/>
              <w:spacing w:line="240" w:lineRule="auto"/>
              <w:contextualSpacing w:val="0"/>
            </w:pPr>
            <w:r>
              <w:t>Sut mae profi a gwerthuso atebion</w:t>
            </w:r>
          </w:p>
        </w:tc>
        <w:tc>
          <w:tcPr>
            <w:tcW w:w="7261" w:type="dxa"/>
            <w:tcMar>
              <w:top w:w="108" w:type="dxa"/>
              <w:bottom w:w="108" w:type="dxa"/>
            </w:tcMar>
          </w:tcPr>
          <w:p w14:paraId="1E5F0607" w14:textId="65014E8B" w:rsidR="008661FF" w:rsidRPr="00CD50CC" w:rsidRDefault="0080526E" w:rsidP="00ED7200">
            <w:pPr>
              <w:pStyle w:val="Normalbulletlist"/>
            </w:pPr>
            <w:r>
              <w:t xml:space="preserve">Bydd dysgwyr yn gwybod beth yw cwmpas eu cyfrifoldeb ar y lefel y maent yn gweithio arni er mwyn gallu gwneud penderfyniadau da i ddatrys problemau. Bydd dysgwyr yn gwybod pryd i drosglwyddo </w:t>
            </w:r>
            <w:r>
              <w:lastRenderedPageBreak/>
              <w:t xml:space="preserve">cyfrifoldeb i’w goruchwyliwr er mwyn gallu gwneud penderfyniadau cywir. </w:t>
            </w:r>
          </w:p>
        </w:tc>
      </w:tr>
    </w:tbl>
    <w:p w14:paraId="3E3F30D3" w14:textId="77777777" w:rsidR="0098637D" w:rsidRPr="00E26CCE" w:rsidRDefault="0098637D" w:rsidP="00ED7200"/>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D2512" w14:textId="77777777" w:rsidR="00D360CE" w:rsidRDefault="00D360CE">
      <w:pPr>
        <w:spacing w:before="0" w:after="0"/>
      </w:pPr>
      <w:r>
        <w:separator/>
      </w:r>
    </w:p>
  </w:endnote>
  <w:endnote w:type="continuationSeparator" w:id="0">
    <w:p w14:paraId="104F3EBE" w14:textId="77777777" w:rsidR="00D360CE" w:rsidRDefault="00D360CE">
      <w:pPr>
        <w:spacing w:before="0" w:after="0"/>
      </w:pPr>
      <w:r>
        <w:continuationSeparator/>
      </w:r>
    </w:p>
  </w:endnote>
  <w:endnote w:type="continuationNotice" w:id="1">
    <w:p w14:paraId="24D47E9B" w14:textId="77777777" w:rsidR="00D360CE" w:rsidRDefault="00D360C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4C444E7B"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t>Hawlfraint © 2021 Sefydliad City and Guilds Llundain. Cedwir pob hawl</w:t>
    </w:r>
    <w:r>
      <w:tab/>
      <w:t xml:space="preserve">Tudalen </w:t>
    </w:r>
    <w:r w:rsidR="00041DCF">
      <w:fldChar w:fldCharType="begin"/>
    </w:r>
    <w:r w:rsidR="00041DCF">
      <w:instrText xml:space="preserve"> PAGE   \* MERGEFORMAT </w:instrText>
    </w:r>
    <w:r w:rsidR="00041DCF">
      <w:fldChar w:fldCharType="separate"/>
    </w:r>
    <w:r w:rsidR="00CE6A74">
      <w:rPr>
        <w:noProof/>
      </w:rPr>
      <w:t>7</w:t>
    </w:r>
    <w:r w:rsidR="00041DCF">
      <w:rPr>
        <w:rFonts w:cs="Arial"/>
      </w:rPr>
      <w:fldChar w:fldCharType="end"/>
    </w:r>
    <w:r>
      <w:t xml:space="preserve"> o </w:t>
    </w:r>
    <w:r w:rsidR="00970E88">
      <w:fldChar w:fldCharType="begin"/>
    </w:r>
    <w:r w:rsidR="00970E88">
      <w:instrText xml:space="preserve"> NUMPAGES   \* MERGEFORMAT </w:instrText>
    </w:r>
    <w:r w:rsidR="00970E88">
      <w:fldChar w:fldCharType="separate"/>
    </w:r>
    <w:r w:rsidR="00CE6A74">
      <w:rPr>
        <w:noProof/>
      </w:rPr>
      <w:t>7</w:t>
    </w:r>
    <w:r w:rsidR="00970E8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BCC86" w14:textId="77777777" w:rsidR="00D360CE" w:rsidRDefault="00D360CE">
      <w:pPr>
        <w:spacing w:before="0" w:after="0"/>
      </w:pPr>
      <w:r>
        <w:separator/>
      </w:r>
    </w:p>
  </w:footnote>
  <w:footnote w:type="continuationSeparator" w:id="0">
    <w:p w14:paraId="60107EE6" w14:textId="77777777" w:rsidR="00D360CE" w:rsidRDefault="00D360CE">
      <w:pPr>
        <w:spacing w:before="0" w:after="0"/>
      </w:pPr>
      <w:r>
        <w:continuationSeparator/>
      </w:r>
    </w:p>
  </w:footnote>
  <w:footnote w:type="continuationNotice" w:id="1">
    <w:p w14:paraId="20A6C8B2" w14:textId="77777777" w:rsidR="00D360CE" w:rsidRDefault="00D360C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DA02F1">
      <w:rPr>
        <w:noProof/>
        <w:sz w:val="28"/>
        <w:szCs w:val="28"/>
        <w:lang w:eastAsia="cy-GB"/>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3" name="Picture 3"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A02F1">
      <w:rPr>
        <w:sz w:val="28"/>
        <w:szCs w:val="28"/>
      </w:rPr>
      <w:t>Dilyniant</w:t>
    </w:r>
    <w:r>
      <w:t xml:space="preserve"> </w:t>
    </w:r>
    <w:r>
      <w:rPr>
        <w:sz w:val="28"/>
      </w:rPr>
      <w:t xml:space="preserve">mewn </w:t>
    </w:r>
    <w:r>
      <w:rPr>
        <w:b/>
        <w:sz w:val="28"/>
      </w:rPr>
      <w:t>Adeiladu (Lefel 2)</w:t>
    </w:r>
  </w:p>
  <w:p w14:paraId="1A87A6D0" w14:textId="29179FC9" w:rsidR="008C49CA" w:rsidRPr="00AC3BFD" w:rsidRDefault="00657E0F" w:rsidP="00AB366F">
    <w:pPr>
      <w:tabs>
        <w:tab w:val="left" w:pos="12572"/>
      </w:tabs>
      <w:spacing w:before="0" w:after="0" w:line="320" w:lineRule="exact"/>
      <w:rPr>
        <w:color w:val="0077E3"/>
        <w:sz w:val="24"/>
        <w:szCs w:val="28"/>
        <w:vertAlign w:val="subscript"/>
      </w:rPr>
    </w:pPr>
    <w:r>
      <w:rPr>
        <w:noProof/>
        <w:color w:val="0077E3"/>
        <w:sz w:val="24"/>
        <w:szCs w:val="22"/>
        <w:lang w:eastAsia="cy-GB"/>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835F6F5">
            <v:line id="Straight Connector 11"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725.65pt,85.05pt" w14:anchorId="522AE3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v:stroke joinstyle="miter"/>
              <w10:wrap anchorx="margin" anchory="page"/>
              <w10:anchorlock/>
            </v:line>
          </w:pict>
        </mc:Fallback>
      </mc:AlternateContent>
    </w:r>
    <w:r>
      <w:rPr>
        <w:color w:val="0077E3"/>
        <w:sz w:val="24"/>
      </w:rPr>
      <w:t>Uned 201: 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17442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76E94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A4CC83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DF841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2015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A42DA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F8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66AD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F5EEE"/>
    <w:multiLevelType w:val="hybridMultilevel"/>
    <w:tmpl w:val="AF82BE2E"/>
    <w:lvl w:ilvl="0" w:tplc="5A025970">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6A93946"/>
    <w:multiLevelType w:val="hybridMultilevel"/>
    <w:tmpl w:val="A3C2CC2C"/>
    <w:lvl w:ilvl="0" w:tplc="705870F0">
      <w:start w:val="1"/>
      <w:numFmt w:val="bullet"/>
      <w:lvlText w:val=""/>
      <w:lvlJc w:val="left"/>
      <w:pPr>
        <w:ind w:left="360" w:hanging="360"/>
      </w:pPr>
      <w:rPr>
        <w:rFonts w:ascii="Symbol" w:hAnsi="Symbol" w:hint="default"/>
        <w:color w:val="0070C0"/>
      </w:rPr>
    </w:lvl>
    <w:lvl w:ilvl="1" w:tplc="C9706DE4">
      <w:start w:val="1"/>
      <w:numFmt w:val="bullet"/>
      <w:lvlText w:val="o"/>
      <w:lvlJc w:val="left"/>
      <w:pPr>
        <w:ind w:left="1080" w:hanging="360"/>
      </w:pPr>
      <w:rPr>
        <w:rFonts w:asciiTheme="minorHAnsi" w:hAnsiTheme="minorHAnsi"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106808C3"/>
    <w:multiLevelType w:val="hybridMultilevel"/>
    <w:tmpl w:val="0F2A13D2"/>
    <w:lvl w:ilvl="0" w:tplc="D95657EA">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9D92F59"/>
    <w:multiLevelType w:val="hybridMultilevel"/>
    <w:tmpl w:val="699AA0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EFA6C4C"/>
    <w:multiLevelType w:val="hybridMultilevel"/>
    <w:tmpl w:val="DFE02B1E"/>
    <w:lvl w:ilvl="0" w:tplc="A1E2CE7E">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38EF5AF3"/>
    <w:multiLevelType w:val="multilevel"/>
    <w:tmpl w:val="0809001F"/>
    <w:numStyleLink w:val="111111"/>
  </w:abstractNum>
  <w:abstractNum w:abstractNumId="28"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CC740D5"/>
    <w:multiLevelType w:val="multilevel"/>
    <w:tmpl w:val="0809001F"/>
    <w:numStyleLink w:val="111111"/>
  </w:abstractNum>
  <w:abstractNum w:abstractNumId="32"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6E325343"/>
    <w:multiLevelType w:val="multilevel"/>
    <w:tmpl w:val="0809001F"/>
    <w:numStyleLink w:val="111111"/>
  </w:abstractNum>
  <w:abstractNum w:abstractNumId="40"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7"/>
  </w:num>
  <w:num w:numId="2">
    <w:abstractNumId w:val="19"/>
  </w:num>
  <w:num w:numId="3">
    <w:abstractNumId w:val="28"/>
  </w:num>
  <w:num w:numId="4">
    <w:abstractNumId w:val="8"/>
  </w:num>
  <w:num w:numId="5">
    <w:abstractNumId w:val="3"/>
  </w:num>
  <w:num w:numId="6">
    <w:abstractNumId w:val="16"/>
  </w:num>
  <w:num w:numId="7">
    <w:abstractNumId w:val="40"/>
  </w:num>
  <w:num w:numId="8">
    <w:abstractNumId w:val="37"/>
  </w:num>
  <w:num w:numId="9">
    <w:abstractNumId w:val="34"/>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1"/>
  </w:num>
  <w:num w:numId="19">
    <w:abstractNumId w:val="20"/>
  </w:num>
  <w:num w:numId="20">
    <w:abstractNumId w:val="30"/>
  </w:num>
  <w:num w:numId="21">
    <w:abstractNumId w:val="32"/>
  </w:num>
  <w:num w:numId="22">
    <w:abstractNumId w:val="36"/>
  </w:num>
  <w:num w:numId="23">
    <w:abstractNumId w:val="31"/>
  </w:num>
  <w:num w:numId="24">
    <w:abstractNumId w:val="27"/>
  </w:num>
  <w:num w:numId="25">
    <w:abstractNumId w:val="39"/>
  </w:num>
  <w:num w:numId="26">
    <w:abstractNumId w:val="29"/>
  </w:num>
  <w:num w:numId="27">
    <w:abstractNumId w:val="41"/>
  </w:num>
  <w:num w:numId="28">
    <w:abstractNumId w:val="24"/>
  </w:num>
  <w:num w:numId="29">
    <w:abstractNumId w:val="12"/>
  </w:num>
  <w:num w:numId="30">
    <w:abstractNumId w:val="38"/>
  </w:num>
  <w:num w:numId="31">
    <w:abstractNumId w:val="26"/>
  </w:num>
  <w:num w:numId="32">
    <w:abstractNumId w:val="33"/>
  </w:num>
  <w:num w:numId="33">
    <w:abstractNumId w:val="18"/>
  </w:num>
  <w:num w:numId="34">
    <w:abstractNumId w:val="22"/>
  </w:num>
  <w:num w:numId="35">
    <w:abstractNumId w:val="21"/>
  </w:num>
  <w:num w:numId="36">
    <w:abstractNumId w:val="35"/>
  </w:num>
  <w:num w:numId="37">
    <w:abstractNumId w:val="14"/>
  </w:num>
  <w:num w:numId="38">
    <w:abstractNumId w:val="23"/>
  </w:num>
  <w:num w:numId="39">
    <w:abstractNumId w:val="13"/>
  </w:num>
  <w:num w:numId="40">
    <w:abstractNumId w:val="10"/>
  </w:num>
  <w:num w:numId="41">
    <w:abstractNumId w:val="25"/>
  </w:num>
  <w:num w:numId="42">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2152F"/>
    <w:rsid w:val="00022C5D"/>
    <w:rsid w:val="00024437"/>
    <w:rsid w:val="000355F3"/>
    <w:rsid w:val="00035EA4"/>
    <w:rsid w:val="00041DCF"/>
    <w:rsid w:val="000462D0"/>
    <w:rsid w:val="00052D44"/>
    <w:rsid w:val="000625C1"/>
    <w:rsid w:val="000672A3"/>
    <w:rsid w:val="00070A7C"/>
    <w:rsid w:val="00077B8F"/>
    <w:rsid w:val="0008737F"/>
    <w:rsid w:val="000A461C"/>
    <w:rsid w:val="000A7B23"/>
    <w:rsid w:val="000B475D"/>
    <w:rsid w:val="000C7005"/>
    <w:rsid w:val="000E3286"/>
    <w:rsid w:val="000E33B4"/>
    <w:rsid w:val="000E7C90"/>
    <w:rsid w:val="000F1280"/>
    <w:rsid w:val="000F364F"/>
    <w:rsid w:val="001000A0"/>
    <w:rsid w:val="00100DE4"/>
    <w:rsid w:val="00101818"/>
    <w:rsid w:val="00102645"/>
    <w:rsid w:val="00103F25"/>
    <w:rsid w:val="00106031"/>
    <w:rsid w:val="00106685"/>
    <w:rsid w:val="001113DD"/>
    <w:rsid w:val="00126511"/>
    <w:rsid w:val="001305BE"/>
    <w:rsid w:val="001338E9"/>
    <w:rsid w:val="00134136"/>
    <w:rsid w:val="00134922"/>
    <w:rsid w:val="00142D5D"/>
    <w:rsid w:val="00143276"/>
    <w:rsid w:val="00153EEC"/>
    <w:rsid w:val="0017259D"/>
    <w:rsid w:val="001756B3"/>
    <w:rsid w:val="001759B2"/>
    <w:rsid w:val="00180F9E"/>
    <w:rsid w:val="00183375"/>
    <w:rsid w:val="00194C52"/>
    <w:rsid w:val="00195896"/>
    <w:rsid w:val="00197A45"/>
    <w:rsid w:val="001A7852"/>
    <w:rsid w:val="001A7C68"/>
    <w:rsid w:val="001B4FD3"/>
    <w:rsid w:val="001C0CA5"/>
    <w:rsid w:val="001C5C47"/>
    <w:rsid w:val="001C676A"/>
    <w:rsid w:val="001D2C30"/>
    <w:rsid w:val="001E1554"/>
    <w:rsid w:val="001E6D3F"/>
    <w:rsid w:val="001E7EBD"/>
    <w:rsid w:val="001F5197"/>
    <w:rsid w:val="001F5938"/>
    <w:rsid w:val="001F5E02"/>
    <w:rsid w:val="001F60AD"/>
    <w:rsid w:val="00205182"/>
    <w:rsid w:val="00211E19"/>
    <w:rsid w:val="002137A0"/>
    <w:rsid w:val="00222AA9"/>
    <w:rsid w:val="00246950"/>
    <w:rsid w:val="00260797"/>
    <w:rsid w:val="00273525"/>
    <w:rsid w:val="0028009B"/>
    <w:rsid w:val="0028294F"/>
    <w:rsid w:val="00283691"/>
    <w:rsid w:val="00287348"/>
    <w:rsid w:val="002935DF"/>
    <w:rsid w:val="002A24D9"/>
    <w:rsid w:val="002A4F81"/>
    <w:rsid w:val="002B6E40"/>
    <w:rsid w:val="002C4372"/>
    <w:rsid w:val="002C7C64"/>
    <w:rsid w:val="002D44D0"/>
    <w:rsid w:val="002E4B7C"/>
    <w:rsid w:val="002F145D"/>
    <w:rsid w:val="002F2A70"/>
    <w:rsid w:val="00312073"/>
    <w:rsid w:val="00312CC4"/>
    <w:rsid w:val="00317730"/>
    <w:rsid w:val="00321A9E"/>
    <w:rsid w:val="003266B4"/>
    <w:rsid w:val="00327392"/>
    <w:rsid w:val="003316BA"/>
    <w:rsid w:val="00335B4D"/>
    <w:rsid w:val="00337DF5"/>
    <w:rsid w:val="0034246D"/>
    <w:rsid w:val="00342DBE"/>
    <w:rsid w:val="00342F12"/>
    <w:rsid w:val="003553A4"/>
    <w:rsid w:val="00356FE4"/>
    <w:rsid w:val="0036719F"/>
    <w:rsid w:val="003729D3"/>
    <w:rsid w:val="00372FB3"/>
    <w:rsid w:val="0037437C"/>
    <w:rsid w:val="00376CB6"/>
    <w:rsid w:val="00381B3E"/>
    <w:rsid w:val="00384A59"/>
    <w:rsid w:val="00385E8A"/>
    <w:rsid w:val="00390105"/>
    <w:rsid w:val="00391D77"/>
    <w:rsid w:val="00396404"/>
    <w:rsid w:val="003C415E"/>
    <w:rsid w:val="003F100A"/>
    <w:rsid w:val="004057E7"/>
    <w:rsid w:val="0041389A"/>
    <w:rsid w:val="0042300A"/>
    <w:rsid w:val="004273B3"/>
    <w:rsid w:val="0045095C"/>
    <w:rsid w:val="004523E2"/>
    <w:rsid w:val="00452B02"/>
    <w:rsid w:val="00457D67"/>
    <w:rsid w:val="0046039E"/>
    <w:rsid w:val="00464277"/>
    <w:rsid w:val="00464732"/>
    <w:rsid w:val="00466297"/>
    <w:rsid w:val="00470B85"/>
    <w:rsid w:val="004731A0"/>
    <w:rsid w:val="0047670B"/>
    <w:rsid w:val="004A2268"/>
    <w:rsid w:val="004A25DF"/>
    <w:rsid w:val="004B6E5D"/>
    <w:rsid w:val="004C705A"/>
    <w:rsid w:val="004D0BA5"/>
    <w:rsid w:val="004E191A"/>
    <w:rsid w:val="005132B7"/>
    <w:rsid w:val="00514228"/>
    <w:rsid w:val="00515AC0"/>
    <w:rsid w:val="00517A47"/>
    <w:rsid w:val="005329BB"/>
    <w:rsid w:val="00552896"/>
    <w:rsid w:val="00564AED"/>
    <w:rsid w:val="0056783E"/>
    <w:rsid w:val="005702CC"/>
    <w:rsid w:val="00570E11"/>
    <w:rsid w:val="00572143"/>
    <w:rsid w:val="00577ED7"/>
    <w:rsid w:val="0058088A"/>
    <w:rsid w:val="00582A13"/>
    <w:rsid w:val="00582A25"/>
    <w:rsid w:val="00582E73"/>
    <w:rsid w:val="005A503B"/>
    <w:rsid w:val="005C766C"/>
    <w:rsid w:val="005E39AB"/>
    <w:rsid w:val="005E3BD4"/>
    <w:rsid w:val="005E6D0A"/>
    <w:rsid w:val="005F638A"/>
    <w:rsid w:val="00613AB3"/>
    <w:rsid w:val="0061455B"/>
    <w:rsid w:val="00626FFC"/>
    <w:rsid w:val="00635630"/>
    <w:rsid w:val="006363AF"/>
    <w:rsid w:val="00641F5D"/>
    <w:rsid w:val="006548FD"/>
    <w:rsid w:val="00656D36"/>
    <w:rsid w:val="00657E0F"/>
    <w:rsid w:val="00672BED"/>
    <w:rsid w:val="0067455F"/>
    <w:rsid w:val="006762D6"/>
    <w:rsid w:val="006941E6"/>
    <w:rsid w:val="006A453E"/>
    <w:rsid w:val="006B23A9"/>
    <w:rsid w:val="006C0843"/>
    <w:rsid w:val="006D08FE"/>
    <w:rsid w:val="006D4994"/>
    <w:rsid w:val="006D72FB"/>
    <w:rsid w:val="006E3B84"/>
    <w:rsid w:val="006E67F0"/>
    <w:rsid w:val="006E7C99"/>
    <w:rsid w:val="006F50CA"/>
    <w:rsid w:val="00704B0B"/>
    <w:rsid w:val="00712312"/>
    <w:rsid w:val="0071471E"/>
    <w:rsid w:val="00715647"/>
    <w:rsid w:val="007317D2"/>
    <w:rsid w:val="00733A39"/>
    <w:rsid w:val="00756D14"/>
    <w:rsid w:val="00760E4E"/>
    <w:rsid w:val="00772D58"/>
    <w:rsid w:val="00777D67"/>
    <w:rsid w:val="007803D3"/>
    <w:rsid w:val="00786E7D"/>
    <w:rsid w:val="0079118A"/>
    <w:rsid w:val="007A5093"/>
    <w:rsid w:val="007A693A"/>
    <w:rsid w:val="007B50CD"/>
    <w:rsid w:val="007D0058"/>
    <w:rsid w:val="007F54BF"/>
    <w:rsid w:val="008005D4"/>
    <w:rsid w:val="00801706"/>
    <w:rsid w:val="0080526E"/>
    <w:rsid w:val="00812680"/>
    <w:rsid w:val="00847CC6"/>
    <w:rsid w:val="00850266"/>
    <w:rsid w:val="00850408"/>
    <w:rsid w:val="008661FF"/>
    <w:rsid w:val="00876735"/>
    <w:rsid w:val="0088056C"/>
    <w:rsid w:val="00880EAA"/>
    <w:rsid w:val="00885ED3"/>
    <w:rsid w:val="00886270"/>
    <w:rsid w:val="0088670A"/>
    <w:rsid w:val="008907F7"/>
    <w:rsid w:val="0089749A"/>
    <w:rsid w:val="008A0334"/>
    <w:rsid w:val="008A4FC4"/>
    <w:rsid w:val="008B030B"/>
    <w:rsid w:val="008C49CA"/>
    <w:rsid w:val="008D37DF"/>
    <w:rsid w:val="008E6754"/>
    <w:rsid w:val="008F2236"/>
    <w:rsid w:val="00901CD7"/>
    <w:rsid w:val="009031A4"/>
    <w:rsid w:val="00905483"/>
    <w:rsid w:val="00905996"/>
    <w:rsid w:val="009103F9"/>
    <w:rsid w:val="0094112A"/>
    <w:rsid w:val="00943CF3"/>
    <w:rsid w:val="00954ECD"/>
    <w:rsid w:val="00957519"/>
    <w:rsid w:val="00962BD3"/>
    <w:rsid w:val="00965197"/>
    <w:rsid w:val="00967427"/>
    <w:rsid w:val="009674DC"/>
    <w:rsid w:val="00970E88"/>
    <w:rsid w:val="00972FF3"/>
    <w:rsid w:val="009802A8"/>
    <w:rsid w:val="0098637D"/>
    <w:rsid w:val="0098732F"/>
    <w:rsid w:val="0099094F"/>
    <w:rsid w:val="009A272A"/>
    <w:rsid w:val="009A4E5B"/>
    <w:rsid w:val="009B0EE5"/>
    <w:rsid w:val="009B740D"/>
    <w:rsid w:val="009C0CB2"/>
    <w:rsid w:val="009D0107"/>
    <w:rsid w:val="009D56CC"/>
    <w:rsid w:val="009E0787"/>
    <w:rsid w:val="009F0C5C"/>
    <w:rsid w:val="009F1A15"/>
    <w:rsid w:val="009F1EE2"/>
    <w:rsid w:val="00A05DE6"/>
    <w:rsid w:val="00A06EC8"/>
    <w:rsid w:val="00A1277C"/>
    <w:rsid w:val="00A16377"/>
    <w:rsid w:val="00A210FB"/>
    <w:rsid w:val="00A501C1"/>
    <w:rsid w:val="00A542B0"/>
    <w:rsid w:val="00A616D2"/>
    <w:rsid w:val="00A63F2B"/>
    <w:rsid w:val="00A70489"/>
    <w:rsid w:val="00A71800"/>
    <w:rsid w:val="00AA08E6"/>
    <w:rsid w:val="00AA66B6"/>
    <w:rsid w:val="00AB366F"/>
    <w:rsid w:val="00AC3BFD"/>
    <w:rsid w:val="00AC59B7"/>
    <w:rsid w:val="00AC5A90"/>
    <w:rsid w:val="00AE0E53"/>
    <w:rsid w:val="00AE278D"/>
    <w:rsid w:val="00AE64CD"/>
    <w:rsid w:val="00AF03BF"/>
    <w:rsid w:val="00AF252C"/>
    <w:rsid w:val="00AF7A4F"/>
    <w:rsid w:val="00B01550"/>
    <w:rsid w:val="00B016BE"/>
    <w:rsid w:val="00B0190D"/>
    <w:rsid w:val="00B03A28"/>
    <w:rsid w:val="00B05FDC"/>
    <w:rsid w:val="00B061A7"/>
    <w:rsid w:val="00B13391"/>
    <w:rsid w:val="00B25B99"/>
    <w:rsid w:val="00B27B25"/>
    <w:rsid w:val="00B31C58"/>
    <w:rsid w:val="00B32A7D"/>
    <w:rsid w:val="00B43C2A"/>
    <w:rsid w:val="00B467F4"/>
    <w:rsid w:val="00B5406F"/>
    <w:rsid w:val="00B54DF3"/>
    <w:rsid w:val="00B624DF"/>
    <w:rsid w:val="00B66ECB"/>
    <w:rsid w:val="00B74F03"/>
    <w:rsid w:val="00B752E1"/>
    <w:rsid w:val="00B772B2"/>
    <w:rsid w:val="00B8154A"/>
    <w:rsid w:val="00B93185"/>
    <w:rsid w:val="00B966B9"/>
    <w:rsid w:val="00B9709E"/>
    <w:rsid w:val="00BA6A88"/>
    <w:rsid w:val="00BC1F49"/>
    <w:rsid w:val="00BC28B4"/>
    <w:rsid w:val="00BD12F2"/>
    <w:rsid w:val="00BD1647"/>
    <w:rsid w:val="00BD2993"/>
    <w:rsid w:val="00BD5BAD"/>
    <w:rsid w:val="00BE0E94"/>
    <w:rsid w:val="00BF0FE3"/>
    <w:rsid w:val="00BF20EA"/>
    <w:rsid w:val="00BF3408"/>
    <w:rsid w:val="00BF5906"/>
    <w:rsid w:val="00BF7512"/>
    <w:rsid w:val="00C15A96"/>
    <w:rsid w:val="00C25267"/>
    <w:rsid w:val="00C269AC"/>
    <w:rsid w:val="00C3229C"/>
    <w:rsid w:val="00C344FE"/>
    <w:rsid w:val="00C573C2"/>
    <w:rsid w:val="00C629D1"/>
    <w:rsid w:val="00C6602A"/>
    <w:rsid w:val="00C85C02"/>
    <w:rsid w:val="00C91210"/>
    <w:rsid w:val="00CA4288"/>
    <w:rsid w:val="00CB165E"/>
    <w:rsid w:val="00CC1C2A"/>
    <w:rsid w:val="00CD3D0A"/>
    <w:rsid w:val="00CD50CC"/>
    <w:rsid w:val="00CE60F0"/>
    <w:rsid w:val="00CE6A74"/>
    <w:rsid w:val="00CF7F32"/>
    <w:rsid w:val="00D04BE6"/>
    <w:rsid w:val="00D129BC"/>
    <w:rsid w:val="00D14B60"/>
    <w:rsid w:val="00D33FC2"/>
    <w:rsid w:val="00D360CE"/>
    <w:rsid w:val="00D4035E"/>
    <w:rsid w:val="00D44A96"/>
    <w:rsid w:val="00D45288"/>
    <w:rsid w:val="00D7542B"/>
    <w:rsid w:val="00D76422"/>
    <w:rsid w:val="00D80EA5"/>
    <w:rsid w:val="00D8348D"/>
    <w:rsid w:val="00D901A1"/>
    <w:rsid w:val="00D92020"/>
    <w:rsid w:val="00D93C78"/>
    <w:rsid w:val="00D979B1"/>
    <w:rsid w:val="00DA02F1"/>
    <w:rsid w:val="00DA1D36"/>
    <w:rsid w:val="00DB3BF5"/>
    <w:rsid w:val="00DC235A"/>
    <w:rsid w:val="00DC642B"/>
    <w:rsid w:val="00DD1E41"/>
    <w:rsid w:val="00DE2D47"/>
    <w:rsid w:val="00DE572B"/>
    <w:rsid w:val="00DE647C"/>
    <w:rsid w:val="00DF0116"/>
    <w:rsid w:val="00DF022A"/>
    <w:rsid w:val="00DF4F8B"/>
    <w:rsid w:val="00DF5AEE"/>
    <w:rsid w:val="00E031BB"/>
    <w:rsid w:val="00E05579"/>
    <w:rsid w:val="00E20557"/>
    <w:rsid w:val="00E2563B"/>
    <w:rsid w:val="00E26CCE"/>
    <w:rsid w:val="00E46B84"/>
    <w:rsid w:val="00E56577"/>
    <w:rsid w:val="00E6073F"/>
    <w:rsid w:val="00E72021"/>
    <w:rsid w:val="00E766BE"/>
    <w:rsid w:val="00E77982"/>
    <w:rsid w:val="00E9058E"/>
    <w:rsid w:val="00E92EFF"/>
    <w:rsid w:val="00E95CA3"/>
    <w:rsid w:val="00ED165C"/>
    <w:rsid w:val="00ED5F82"/>
    <w:rsid w:val="00ED7200"/>
    <w:rsid w:val="00EF33B4"/>
    <w:rsid w:val="00EF6580"/>
    <w:rsid w:val="00F03C3F"/>
    <w:rsid w:val="00F05484"/>
    <w:rsid w:val="00F13718"/>
    <w:rsid w:val="00F160AE"/>
    <w:rsid w:val="00F23F4A"/>
    <w:rsid w:val="00F30345"/>
    <w:rsid w:val="00F3360B"/>
    <w:rsid w:val="00F418EF"/>
    <w:rsid w:val="00F42FC2"/>
    <w:rsid w:val="00F51D77"/>
    <w:rsid w:val="00F52A5C"/>
    <w:rsid w:val="00F5435F"/>
    <w:rsid w:val="00F609B7"/>
    <w:rsid w:val="00F71ED9"/>
    <w:rsid w:val="00F73AB5"/>
    <w:rsid w:val="00F76E9D"/>
    <w:rsid w:val="00F846F7"/>
    <w:rsid w:val="00F93080"/>
    <w:rsid w:val="00FA1C3D"/>
    <w:rsid w:val="00FA2636"/>
    <w:rsid w:val="00FB4AB5"/>
    <w:rsid w:val="00FC3AA8"/>
    <w:rsid w:val="00FC5526"/>
    <w:rsid w:val="00FD048C"/>
    <w:rsid w:val="00FD176D"/>
    <w:rsid w:val="00FD198C"/>
    <w:rsid w:val="00FD573A"/>
    <w:rsid w:val="00FE1E19"/>
    <w:rsid w:val="00FE619A"/>
    <w:rsid w:val="00FF0827"/>
    <w:rsid w:val="010169B4"/>
    <w:rsid w:val="036A9E92"/>
    <w:rsid w:val="0D16A065"/>
    <w:rsid w:val="15BF2E64"/>
    <w:rsid w:val="1EA49061"/>
    <w:rsid w:val="2393F9D7"/>
    <w:rsid w:val="24197D14"/>
    <w:rsid w:val="28A6841D"/>
    <w:rsid w:val="29FA903B"/>
    <w:rsid w:val="2A38C843"/>
    <w:rsid w:val="2AD8199F"/>
    <w:rsid w:val="2CA2F117"/>
    <w:rsid w:val="2D52EC0B"/>
    <w:rsid w:val="2DA854A1"/>
    <w:rsid w:val="308A8CCD"/>
    <w:rsid w:val="3606ECEC"/>
    <w:rsid w:val="3D4FE778"/>
    <w:rsid w:val="6238DF08"/>
    <w:rsid w:val="62837049"/>
    <w:rsid w:val="6FC91356"/>
    <w:rsid w:val="7803439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E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TMLCite">
    <w:name w:val="HTML Cite"/>
    <w:basedOn w:val="DefaultParagraphFont"/>
    <w:uiPriority w:val="99"/>
    <w:semiHidden/>
    <w:unhideWhenUsed/>
    <w:rsid w:val="00F3360B"/>
    <w:rPr>
      <w:i/>
      <w:iCs/>
    </w:rPr>
  </w:style>
  <w:style w:type="character" w:customStyle="1" w:styleId="UnresolvedMention1">
    <w:name w:val="Unresolved Mention1"/>
    <w:basedOn w:val="DefaultParagraphFont"/>
    <w:uiPriority w:val="99"/>
    <w:semiHidden/>
    <w:unhideWhenUsed/>
    <w:rsid w:val="00F73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cscheme.org.uk/site-registration/site-registration-257/" TargetMode="External"/><Relationship Id="rId18" Type="http://schemas.openxmlformats.org/officeDocument/2006/relationships/hyperlink" Target="https://www.constructioncert.co.uk/book?msclkid=e2faabf2109318066e09cb7db1dd6710" TargetMode="External"/><Relationship Id="rId26" Type="http://schemas.openxmlformats.org/officeDocument/2006/relationships/hyperlink" Target="http://www.zen40585.zen.co.uk/Business%20cycles%20recessions%20and%20economic%20booms.pdf" TargetMode="External"/><Relationship Id="rId39" Type="http://schemas.openxmlformats.org/officeDocument/2006/relationships/theme" Target="theme/theme1.xml"/><Relationship Id="rId21" Type="http://schemas.openxmlformats.org/officeDocument/2006/relationships/hyperlink" Target="https://www.gov.uk/government/organisations/hm-revenue-customs/about" TargetMode="External"/><Relationship Id="rId34" Type="http://schemas.openxmlformats.org/officeDocument/2006/relationships/hyperlink" Target="https://www.uopeople.edu/blog/interpersonal-vs-intrapersonal/" TargetMode="External"/><Relationship Id="rId7" Type="http://schemas.openxmlformats.org/officeDocument/2006/relationships/webSettings" Target="webSettings.xml"/><Relationship Id="rId12" Type="http://schemas.openxmlformats.org/officeDocument/2006/relationships/hyperlink" Target="https://www.hse.gov.uk/" TargetMode="External"/><Relationship Id="rId17" Type="http://schemas.openxmlformats.org/officeDocument/2006/relationships/hyperlink" Target="https://www.constructioncert.co.uk/book?msclkid=e2faabf2109318066e09cb7db1dd6710" TargetMode="External"/><Relationship Id="rId25" Type="http://schemas.openxmlformats.org/officeDocument/2006/relationships/hyperlink" Target="http://www.zen40585.zen.co.uk/Business%20cycles%20recessions%20and%20economic%20booms.pdf" TargetMode="External"/><Relationship Id="rId33" Type="http://schemas.openxmlformats.org/officeDocument/2006/relationships/hyperlink" Target="https://www.twinkl.co.uk/teaching-wiki/success-criteria"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heritagehelp.org.uk/organisations/spab" TargetMode="External"/><Relationship Id="rId20" Type="http://schemas.openxmlformats.org/officeDocument/2006/relationships/hyperlink" Target="https://www.unitetheunion.org/what-we-do/unite-in-your-sector/unite-construction-allied-trades-and-technicians/" TargetMode="External"/><Relationship Id="rId29" Type="http://schemas.openxmlformats.org/officeDocument/2006/relationships/hyperlink" Target="https://www.highspeedtraining.co.uk/hub/emotional-intelligence-workplac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telegraph.co.uk/finance/recession/5568068/Recession-casualties-of-Britains-construction-industry-count-cost-of-boom-and-bust.html" TargetMode="External"/><Relationship Id="rId32" Type="http://schemas.openxmlformats.org/officeDocument/2006/relationships/hyperlink" Target="https://www.twinkl.co.uk/teaching-wiki/success-criteria" TargetMode="External"/><Relationship Id="rId37"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heritagehelp.org.uk/organisations/spab" TargetMode="External"/><Relationship Id="rId23" Type="http://schemas.openxmlformats.org/officeDocument/2006/relationships/hyperlink" Target="https://www.telegraph.co.uk/finance/recession/5568068/Recession-casualties-of-Britains-construction-industry-count-cost-of-boom-and-bust.html" TargetMode="External"/><Relationship Id="rId28" Type="http://schemas.openxmlformats.org/officeDocument/2006/relationships/hyperlink" Target="https://www.highspeedtraining.co.uk/hub/emotional-intelligence-workplace/" TargetMode="External"/><Relationship Id="rId36" Type="http://schemas.openxmlformats.org/officeDocument/2006/relationships/hyperlink" Target="https://www.uopeople.edu/blog/interpersonal-vs-intrapersonal/" TargetMode="External"/><Relationship Id="rId10" Type="http://schemas.openxmlformats.org/officeDocument/2006/relationships/header" Target="header1.xml"/><Relationship Id="rId19" Type="http://schemas.openxmlformats.org/officeDocument/2006/relationships/hyperlink" Target="https://www.unitetheunion.org/what-we-do/unite-in-your-sector/unite-construction-allied-trades-and-technicians/" TargetMode="External"/><Relationship Id="rId31" Type="http://schemas.openxmlformats.org/officeDocument/2006/relationships/hyperlink" Target="https://engageinlearning.com/faq/compliance/equality-and-diversity/what-is-meant-by-the-term-equality-and-diversi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cscheme.org.uk/site-registration/site-registration-257/" TargetMode="External"/><Relationship Id="rId22" Type="http://schemas.openxmlformats.org/officeDocument/2006/relationships/hyperlink" Target="https://www.telegraph.co.uk/finance/recession/5568068/Recession-casualties-of-Britains-construction-industry-count-cost-of-boom-and-bust.html" TargetMode="External"/><Relationship Id="rId27" Type="http://schemas.openxmlformats.org/officeDocument/2006/relationships/hyperlink" Target="https://www.highspeedtraining.co.uk/hub/emotional-intelligence-workplace/" TargetMode="External"/><Relationship Id="rId30" Type="http://schemas.openxmlformats.org/officeDocument/2006/relationships/hyperlink" Target="https://engageinlearning.com/faq/compliance/equality-and-diversity/what-is-meant-by-the-term-equality-and-diversity/" TargetMode="External"/><Relationship Id="rId35" Type="http://schemas.openxmlformats.org/officeDocument/2006/relationships/hyperlink" Target="https://www.uopeople.edu/blog/interpersonal-vs-intrapersonal/" TargetMode="Externa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1430E7-0B90-43E9-AF25-76FD6B84A3D4}">
  <ds:schemaRefs>
    <ds:schemaRef ds:uri="http://schemas.microsoft.com/sharepoint/v3/contenttype/forms"/>
  </ds:schemaRefs>
</ds:datastoreItem>
</file>

<file path=customXml/itemProps2.xml><?xml version="1.0" encoding="utf-8"?>
<ds:datastoreItem xmlns:ds="http://schemas.openxmlformats.org/officeDocument/2006/customXml" ds:itemID="{FA6F13FC-6E3A-4F9D-B126-AF8B3B1C6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5AA872-A468-4555-A777-11D6122355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2121</Words>
  <Characters>12091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15</cp:revision>
  <cp:lastPrinted>2021-02-03T13:26:00Z</cp:lastPrinted>
  <dcterms:created xsi:type="dcterms:W3CDTF">2021-07-05T14:07:00Z</dcterms:created>
  <dcterms:modified xsi:type="dcterms:W3CDTF">2022-05-04T08:29:00Z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